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image/x-emf" PartName="/word/media/image1.emf"/>
  <Default ContentType="image/png" Extension="png"/>
  <Default ContentType="image/jpeg" Extension="jpeg"/>
  <Override ContentType="image/x-emf" PartName="/word/media/image13.emf"/>
  <Override ContentType="image/x-emf" PartName="/word/media/image14.emf"/>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4" Type="http://schemas.openxmlformats.org/officeDocument/2006/relationships/officeDocument" Target="word/document.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rPr>
          <w:rFonts w:cs="Times New Roman"/>
          <w:sz w:val="20"/>
          <w:szCs w:val="20"/>
        </w:rPr>
      </w:pPr>
      <w:bookmarkStart w:id="62" w:name="_GoBack"/>
      <w:bookmarkEnd w:id="62"/>
    </w:p>
    <w:p>
      <w:pPr>
        <w:rPr>
          <w:rFonts w:cs="Times New Roman"/>
          <w:sz w:val="20"/>
          <w:szCs w:val="20"/>
        </w:rPr>
      </w:pPr>
    </w:p>
    <w:p>
      <w:pPr>
        <w:rPr>
          <w:rFonts w:cs="Times New Roman"/>
          <w:sz w:val="20"/>
          <w:szCs w:val="20"/>
        </w:rPr>
      </w:pPr>
    </w:p>
    <w:p>
      <w:pPr>
        <w:rPr>
          <w:rFonts w:cs="Times New Roman"/>
          <w:sz w:val="20"/>
          <w:szCs w:val="20"/>
        </w:rPr>
      </w:pPr>
    </w:p>
    <w:p>
      <w:pPr>
        <w:spacing w:line="360" w:lineRule="auto"/>
        <w:jc w:val="center"/>
        <w:rPr>
          <w:rFonts w:ascii="黑体" w:hAnsi="黑体" w:eastAsia="黑体" w:cs="Times New Roman"/>
          <w:sz w:val="36"/>
          <w:szCs w:val="36"/>
        </w:rPr>
      </w:pPr>
    </w:p>
    <w:p>
      <w:pPr>
        <w:spacing w:line="360" w:lineRule="auto"/>
        <w:jc w:val="center"/>
        <w:rPr>
          <w:rFonts w:ascii="黑体" w:hAnsi="黑体" w:eastAsia="黑体" w:cs="Times New Roman"/>
          <w:sz w:val="36"/>
          <w:szCs w:val="36"/>
        </w:rPr>
      </w:pPr>
    </w:p>
    <w:p>
      <w:pPr>
        <w:jc w:val="center"/>
        <w:rPr>
          <w:rFonts w:ascii="公文小标宋简" w:hAnsi="Times New Roman" w:eastAsia="公文小标宋简" w:cs="Times New Roman"/>
          <w:b/>
          <w:bCs/>
          <w:sz w:val="40"/>
          <w:szCs w:val="40"/>
        </w:rPr>
      </w:pPr>
      <w:r>
        <w:rPr>
          <w:rFonts w:hint="eastAsia" w:ascii="公文小标宋简" w:hAnsi="Times New Roman" w:eastAsia="公文小标宋简" w:cs="公文小标宋简"/>
          <w:b/>
          <w:bCs/>
          <w:sz w:val="40"/>
          <w:szCs w:val="40"/>
        </w:rPr>
        <w:t>龙岩市“十四五”有色金属产业发展规划</w:t>
      </w:r>
    </w:p>
    <w:p>
      <w:pPr>
        <w:spacing w:line="360" w:lineRule="auto"/>
        <w:jc w:val="center"/>
        <w:rPr>
          <w:rFonts w:ascii="黑体" w:hAnsi="黑体" w:eastAsia="黑体" w:cs="Times New Roman"/>
          <w:sz w:val="36"/>
          <w:szCs w:val="36"/>
        </w:rPr>
      </w:pPr>
      <w:r>
        <w:rPr>
          <w:rFonts w:hint="eastAsia" w:ascii="黑体" w:hAnsi="黑体" w:eastAsia="黑体" w:cs="黑体"/>
          <w:sz w:val="36"/>
          <w:szCs w:val="36"/>
        </w:rPr>
        <w:t>（初定稿）</w:t>
      </w:r>
    </w:p>
    <w:p>
      <w:pPr>
        <w:spacing w:line="360" w:lineRule="auto"/>
        <w:jc w:val="center"/>
        <w:rPr>
          <w:rFonts w:ascii="黑体" w:hAnsi="黑体" w:eastAsia="黑体" w:cs="Times New Roman"/>
          <w:sz w:val="36"/>
          <w:szCs w:val="36"/>
        </w:rPr>
      </w:pPr>
    </w:p>
    <w:p>
      <w:pPr>
        <w:spacing w:line="360" w:lineRule="auto"/>
        <w:jc w:val="center"/>
        <w:rPr>
          <w:rFonts w:ascii="黑体" w:hAnsi="黑体" w:eastAsia="黑体" w:cs="Times New Roman"/>
          <w:sz w:val="36"/>
          <w:szCs w:val="36"/>
        </w:rPr>
      </w:pPr>
    </w:p>
    <w:p>
      <w:pPr>
        <w:spacing w:line="360" w:lineRule="auto"/>
        <w:jc w:val="center"/>
        <w:rPr>
          <w:rFonts w:ascii="黑体" w:hAnsi="黑体" w:eastAsia="黑体" w:cs="Times New Roman"/>
          <w:sz w:val="36"/>
          <w:szCs w:val="36"/>
        </w:rPr>
      </w:pPr>
    </w:p>
    <w:p>
      <w:pPr>
        <w:spacing w:line="360" w:lineRule="auto"/>
        <w:jc w:val="center"/>
        <w:rPr>
          <w:rFonts w:ascii="黑体" w:hAnsi="黑体" w:eastAsia="黑体" w:cs="Times New Roman"/>
          <w:sz w:val="36"/>
          <w:szCs w:val="36"/>
        </w:rPr>
      </w:pPr>
    </w:p>
    <w:p>
      <w:pPr>
        <w:spacing w:line="360" w:lineRule="auto"/>
        <w:jc w:val="center"/>
        <w:rPr>
          <w:rFonts w:ascii="黑体" w:hAnsi="黑体" w:eastAsia="黑体" w:cs="Times New Roman"/>
          <w:sz w:val="36"/>
          <w:szCs w:val="36"/>
        </w:rPr>
      </w:pPr>
    </w:p>
    <w:p>
      <w:pPr>
        <w:spacing w:line="360" w:lineRule="auto"/>
        <w:jc w:val="center"/>
        <w:rPr>
          <w:rFonts w:ascii="黑体" w:hAnsi="黑体" w:eastAsia="黑体" w:cs="Times New Roman"/>
          <w:sz w:val="36"/>
          <w:szCs w:val="36"/>
        </w:rPr>
      </w:pPr>
    </w:p>
    <w:p>
      <w:pPr>
        <w:spacing w:line="360" w:lineRule="auto"/>
        <w:jc w:val="center"/>
        <w:rPr>
          <w:rFonts w:ascii="黑体" w:hAnsi="黑体" w:eastAsia="黑体" w:cs="Times New Roman"/>
          <w:sz w:val="36"/>
          <w:szCs w:val="36"/>
        </w:rPr>
      </w:pPr>
    </w:p>
    <w:p>
      <w:pPr>
        <w:spacing w:line="360" w:lineRule="auto"/>
        <w:jc w:val="center"/>
        <w:rPr>
          <w:rFonts w:ascii="黑体" w:hAnsi="黑体" w:eastAsia="黑体" w:cs="Times New Roman"/>
          <w:sz w:val="36"/>
          <w:szCs w:val="36"/>
        </w:rPr>
      </w:pPr>
    </w:p>
    <w:p>
      <w:pPr>
        <w:spacing w:line="360" w:lineRule="auto"/>
        <w:jc w:val="center"/>
        <w:rPr>
          <w:rFonts w:ascii="黑体" w:hAnsi="黑体" w:eastAsia="黑体" w:cs="Times New Roman"/>
          <w:sz w:val="36"/>
          <w:szCs w:val="36"/>
        </w:rPr>
      </w:pPr>
    </w:p>
    <w:p>
      <w:pPr>
        <w:spacing w:line="360" w:lineRule="auto"/>
        <w:jc w:val="center"/>
        <w:rPr>
          <w:rFonts w:ascii="黑体" w:hAnsi="黑体" w:eastAsia="黑体" w:cs="Times New Roman"/>
          <w:sz w:val="36"/>
          <w:szCs w:val="36"/>
        </w:rPr>
      </w:pPr>
    </w:p>
    <w:p>
      <w:pPr>
        <w:spacing w:line="360" w:lineRule="auto"/>
        <w:jc w:val="center"/>
        <w:rPr>
          <w:rFonts w:ascii="黑体" w:hAnsi="黑体" w:eastAsia="黑体" w:cs="Times New Roman"/>
          <w:sz w:val="36"/>
          <w:szCs w:val="36"/>
        </w:rPr>
      </w:pPr>
    </w:p>
    <w:p>
      <w:pPr>
        <w:ind w:firstLine="31680" w:firstLineChars="443"/>
        <w:jc w:val="left"/>
        <w:rPr>
          <w:rFonts w:ascii="Times New Roman" w:hAnsi="Times New Roman" w:eastAsia="仿宋" w:cs="Times New Roman"/>
          <w:sz w:val="32"/>
          <w:szCs w:val="32"/>
        </w:rPr>
      </w:pPr>
      <w:r>
        <w:rPr>
          <w:rFonts w:hint="eastAsia" w:ascii="Times New Roman" w:hAnsi="Times New Roman" w:eastAsia="仿宋" w:cs="仿宋"/>
          <w:sz w:val="32"/>
          <w:szCs w:val="32"/>
        </w:rPr>
        <w:t>委托单位：龙岩市工业和信息化局</w:t>
      </w:r>
    </w:p>
    <w:p>
      <w:pPr>
        <w:ind w:firstLine="31680" w:firstLineChars="443"/>
        <w:jc w:val="left"/>
        <w:rPr>
          <w:rFonts w:ascii="Times New Roman" w:hAnsi="Times New Roman" w:eastAsia="仿宋" w:cs="Times New Roman"/>
          <w:sz w:val="32"/>
          <w:szCs w:val="32"/>
        </w:rPr>
      </w:pPr>
      <w:r>
        <w:rPr>
          <w:rFonts w:hint="eastAsia" w:ascii="Times New Roman" w:hAnsi="Times New Roman" w:eastAsia="仿宋" w:cs="仿宋"/>
          <w:sz w:val="32"/>
          <w:szCs w:val="32"/>
        </w:rPr>
        <w:t>完成单位：北京安泰科信息股份有限公司</w:t>
      </w:r>
    </w:p>
    <w:p>
      <w:pPr>
        <w:spacing w:line="360" w:lineRule="auto"/>
        <w:jc w:val="center"/>
        <w:rPr>
          <w:rFonts w:ascii="黑体" w:hAnsi="黑体" w:eastAsia="黑体" w:cs="Times New Roman"/>
          <w:sz w:val="28"/>
          <w:szCs w:val="28"/>
        </w:rPr>
      </w:pPr>
      <w:r>
        <w:rPr>
          <w:rFonts w:ascii="黑体" w:hAnsi="黑体" w:eastAsia="黑体" w:cs="黑体"/>
          <w:sz w:val="28"/>
          <w:szCs w:val="28"/>
        </w:rPr>
        <w:t>2021</w:t>
      </w:r>
      <w:r>
        <w:rPr>
          <w:rFonts w:hint="eastAsia" w:ascii="黑体" w:hAnsi="黑体" w:eastAsia="黑体" w:cs="黑体"/>
          <w:sz w:val="28"/>
          <w:szCs w:val="28"/>
        </w:rPr>
        <w:t>年</w:t>
      </w:r>
      <w:r>
        <w:rPr>
          <w:rFonts w:ascii="黑体" w:hAnsi="黑体" w:eastAsia="黑体" w:cs="黑体"/>
          <w:sz w:val="28"/>
          <w:szCs w:val="28"/>
        </w:rPr>
        <w:t>4</w:t>
      </w:r>
      <w:r>
        <w:rPr>
          <w:rFonts w:hint="eastAsia" w:ascii="黑体" w:hAnsi="黑体" w:eastAsia="黑体" w:cs="黑体"/>
          <w:sz w:val="28"/>
          <w:szCs w:val="28"/>
        </w:rPr>
        <w:t>月</w:t>
      </w:r>
    </w:p>
    <w:p>
      <w:pPr>
        <w:widowControl/>
        <w:jc w:val="left"/>
        <w:rPr>
          <w:rFonts w:ascii="宋体" w:cs="Times New Roman"/>
          <w:sz w:val="24"/>
          <w:szCs w:val="24"/>
        </w:rPr>
      </w:pPr>
      <w:r>
        <w:rPr>
          <w:rFonts w:ascii="宋体" w:cs="Times New Roman"/>
          <w:sz w:val="24"/>
          <w:szCs w:val="24"/>
        </w:rPr>
        <w:br w:type="page"/>
      </w:r>
    </w:p>
    <w:p>
      <w:pPr>
        <w:spacing w:line="360" w:lineRule="auto"/>
        <w:ind w:firstLine="31680" w:firstLineChars="200"/>
        <w:rPr>
          <w:rFonts w:ascii="宋体" w:cs="Times New Roman"/>
          <w:sz w:val="24"/>
          <w:szCs w:val="24"/>
        </w:rPr>
        <w:sectPr>
          <w:footerReference r:id="rId4" w:type="default"/>
          <w:pgSz w:w="11906" w:h="16838"/>
          <w:pgMar w:top="1440" w:right="1800" w:bottom="1440" w:left="1800" w:header="851" w:footer="992" w:gutter="0"/>
          <w:cols w:space="425" w:num="1"/>
          <w:titlePg/>
          <w:docGrid w:type="lines" w:linePitch="312"/>
        </w:sectPr>
      </w:pPr>
    </w:p>
    <w:p>
      <w:pPr>
        <w:pStyle w:val="21"/>
        <w:rPr>
          <w:rFonts w:cs="Times New Roman"/>
          <w:color w:val="auto"/>
        </w:rPr>
      </w:pPr>
      <w:r>
        <w:rPr>
          <w:rFonts w:hint="eastAsia" w:cs="宋体"/>
          <w:color w:val="auto"/>
          <w:lang w:val="zh-CN"/>
        </w:rPr>
        <w:t>目录</w:t>
      </w:r>
    </w:p>
    <w:p>
      <w:pPr>
        <w:pStyle w:val="12"/>
        <w:rPr>
          <w:rFonts w:ascii="Calibri" w:hAnsi="Calibri" w:cs="Calibri"/>
        </w:rPr>
      </w:pPr>
      <w:r>
        <w:rPr>
          <w:b/>
          <w:bCs/>
          <w:lang w:val="zh-CN"/>
        </w:rPr>
        <w:fldChar w:fldCharType="begin"/>
      </w:r>
      <w:r>
        <w:rPr>
          <w:b/>
          <w:bCs/>
          <w:lang w:val="zh-CN"/>
        </w:rPr>
        <w:instrText xml:space="preserve"> TOC \o "1-3" \h \z \u </w:instrText>
      </w:r>
      <w:r>
        <w:rPr>
          <w:b/>
          <w:bCs/>
          <w:lang w:val="zh-CN"/>
        </w:rPr>
        <w:fldChar w:fldCharType="separate"/>
      </w:r>
      <w:r>
        <w:fldChar w:fldCharType="begin"/>
      </w:r>
      <w:r>
        <w:instrText xml:space="preserve">HYPERLINK  \l "_Toc70684617" </w:instrText>
      </w:r>
      <w:r>
        <w:fldChar w:fldCharType="separate"/>
      </w:r>
      <w:r>
        <w:rPr>
          <w:rStyle w:val="17"/>
          <w:rFonts w:hint="eastAsia" w:ascii="黑体" w:hAnsi="黑体" w:eastAsia="黑体" w:cs="黑体"/>
        </w:rPr>
        <w:t>一、前言</w:t>
      </w:r>
      <w:r>
        <w:tab/>
      </w:r>
      <w:r>
        <w:fldChar w:fldCharType="begin"/>
      </w:r>
      <w:r>
        <w:instrText xml:space="preserve"> PAGEREF _Toc70684617 \h </w:instrText>
      </w:r>
      <w:r>
        <w:fldChar w:fldCharType="separate"/>
      </w:r>
      <w:r>
        <w:t>1</w:t>
      </w:r>
      <w:r>
        <w:fldChar w:fldCharType="end"/>
      </w:r>
      <w:r>
        <w:fldChar w:fldCharType="end"/>
      </w:r>
    </w:p>
    <w:p>
      <w:pPr>
        <w:pStyle w:val="12"/>
        <w:rPr>
          <w:rFonts w:ascii="Calibri" w:hAnsi="Calibri" w:cs="Calibri"/>
        </w:rPr>
      </w:pPr>
      <w:r>
        <w:fldChar w:fldCharType="begin"/>
      </w:r>
      <w:r>
        <w:instrText xml:space="preserve">HYPERLINK  \l "_Toc70684618" </w:instrText>
      </w:r>
      <w:r>
        <w:fldChar w:fldCharType="separate"/>
      </w:r>
      <w:r>
        <w:rPr>
          <w:rStyle w:val="17"/>
          <w:rFonts w:hint="eastAsia" w:ascii="黑体" w:hAnsi="黑体" w:eastAsia="黑体" w:cs="黑体"/>
        </w:rPr>
        <w:t>二、产业发展环境分析</w:t>
      </w:r>
      <w:r>
        <w:tab/>
      </w:r>
      <w:r>
        <w:fldChar w:fldCharType="begin"/>
      </w:r>
      <w:r>
        <w:instrText xml:space="preserve"> PAGEREF _Toc70684618 \h </w:instrText>
      </w:r>
      <w:r>
        <w:fldChar w:fldCharType="separate"/>
      </w:r>
      <w:r>
        <w:t>3</w:t>
      </w:r>
      <w:r>
        <w:fldChar w:fldCharType="end"/>
      </w:r>
      <w:r>
        <w:fldChar w:fldCharType="end"/>
      </w:r>
    </w:p>
    <w:p>
      <w:pPr>
        <w:pStyle w:val="13"/>
        <w:ind w:left="31680"/>
        <w:rPr>
          <w:rFonts w:ascii="Calibri" w:hAnsi="Calibri" w:cs="Calibri"/>
        </w:rPr>
      </w:pPr>
      <w:r>
        <w:fldChar w:fldCharType="begin"/>
      </w:r>
      <w:r>
        <w:instrText xml:space="preserve">HYPERLINK  \l "_Toc70684619" </w:instrText>
      </w:r>
      <w:r>
        <w:fldChar w:fldCharType="separate"/>
      </w:r>
      <w:r>
        <w:rPr>
          <w:rStyle w:val="17"/>
          <w:rFonts w:hint="eastAsia" w:ascii="仿宋" w:hAnsi="仿宋" w:eastAsia="仿宋" w:cs="仿宋"/>
        </w:rPr>
        <w:t>（一）铜产业发展现状及趋势</w:t>
      </w:r>
      <w:r>
        <w:tab/>
      </w:r>
      <w:r>
        <w:fldChar w:fldCharType="begin"/>
      </w:r>
      <w:r>
        <w:instrText xml:space="preserve"> PAGEREF _Toc70684619 \h </w:instrText>
      </w:r>
      <w:r>
        <w:fldChar w:fldCharType="separate"/>
      </w:r>
      <w:r>
        <w:t>3</w:t>
      </w:r>
      <w:r>
        <w:fldChar w:fldCharType="end"/>
      </w:r>
      <w:r>
        <w:fldChar w:fldCharType="end"/>
      </w:r>
    </w:p>
    <w:p>
      <w:pPr>
        <w:pStyle w:val="8"/>
        <w:ind w:left="31680"/>
        <w:rPr>
          <w:rFonts w:ascii="Calibri" w:hAnsi="Calibri" w:cs="Calibri"/>
        </w:rPr>
      </w:pPr>
      <w:r>
        <w:fldChar w:fldCharType="begin"/>
      </w:r>
      <w:r>
        <w:instrText xml:space="preserve">HYPERLINK  \l "_Toc70684620" </w:instrText>
      </w:r>
      <w:r>
        <w:fldChar w:fldCharType="separate"/>
      </w:r>
      <w:r>
        <w:rPr>
          <w:rStyle w:val="17"/>
          <w:rFonts w:ascii="仿宋" w:hAnsi="仿宋" w:eastAsia="仿宋" w:cs="仿宋"/>
        </w:rPr>
        <w:t>1.</w:t>
      </w:r>
      <w:r>
        <w:rPr>
          <w:rStyle w:val="17"/>
          <w:rFonts w:hint="eastAsia" w:ascii="仿宋" w:hAnsi="仿宋" w:eastAsia="仿宋" w:cs="仿宋"/>
        </w:rPr>
        <w:t>国内外铜生产现状及趋势</w:t>
      </w:r>
      <w:r>
        <w:tab/>
      </w:r>
      <w:r>
        <w:fldChar w:fldCharType="begin"/>
      </w:r>
      <w:r>
        <w:instrText xml:space="preserve"> PAGEREF _Toc70684620 \h </w:instrText>
      </w:r>
      <w:r>
        <w:fldChar w:fldCharType="separate"/>
      </w:r>
      <w:r>
        <w:t>3</w:t>
      </w:r>
      <w:r>
        <w:fldChar w:fldCharType="end"/>
      </w:r>
      <w:r>
        <w:fldChar w:fldCharType="end"/>
      </w:r>
    </w:p>
    <w:p>
      <w:pPr>
        <w:pStyle w:val="8"/>
        <w:ind w:left="31680"/>
        <w:rPr>
          <w:rFonts w:ascii="Calibri" w:hAnsi="Calibri" w:cs="Calibri"/>
        </w:rPr>
      </w:pPr>
      <w:r>
        <w:fldChar w:fldCharType="begin"/>
      </w:r>
      <w:r>
        <w:instrText xml:space="preserve">HYPERLINK  \l "_Toc70684621" </w:instrText>
      </w:r>
      <w:r>
        <w:fldChar w:fldCharType="separate"/>
      </w:r>
      <w:r>
        <w:rPr>
          <w:rStyle w:val="17"/>
          <w:rFonts w:ascii="仿宋" w:hAnsi="仿宋" w:eastAsia="仿宋" w:cs="仿宋"/>
        </w:rPr>
        <w:t>2.</w:t>
      </w:r>
      <w:r>
        <w:rPr>
          <w:rStyle w:val="17"/>
          <w:rFonts w:hint="eastAsia" w:ascii="仿宋" w:hAnsi="仿宋" w:eastAsia="仿宋" w:cs="仿宋"/>
        </w:rPr>
        <w:t>国内外铜需求现状及趋势</w:t>
      </w:r>
      <w:r>
        <w:tab/>
      </w:r>
      <w:r>
        <w:fldChar w:fldCharType="begin"/>
      </w:r>
      <w:r>
        <w:instrText xml:space="preserve"> PAGEREF _Toc70684621 \h </w:instrText>
      </w:r>
      <w:r>
        <w:fldChar w:fldCharType="separate"/>
      </w:r>
      <w:r>
        <w:t>3</w:t>
      </w:r>
      <w:r>
        <w:fldChar w:fldCharType="end"/>
      </w:r>
      <w:r>
        <w:fldChar w:fldCharType="end"/>
      </w:r>
    </w:p>
    <w:p>
      <w:pPr>
        <w:pStyle w:val="8"/>
        <w:ind w:left="31680"/>
        <w:rPr>
          <w:rFonts w:ascii="Calibri" w:hAnsi="Calibri" w:cs="Calibri"/>
        </w:rPr>
      </w:pPr>
      <w:r>
        <w:fldChar w:fldCharType="begin"/>
      </w:r>
      <w:r>
        <w:instrText xml:space="preserve">HYPERLINK  \l "_Toc70684622" </w:instrText>
      </w:r>
      <w:r>
        <w:fldChar w:fldCharType="separate"/>
      </w:r>
      <w:r>
        <w:rPr>
          <w:rStyle w:val="17"/>
          <w:rFonts w:ascii="仿宋" w:hAnsi="仿宋" w:eastAsia="仿宋" w:cs="仿宋"/>
        </w:rPr>
        <w:t>3.</w:t>
      </w:r>
      <w:r>
        <w:rPr>
          <w:rStyle w:val="17"/>
          <w:rFonts w:hint="eastAsia" w:ascii="仿宋" w:hAnsi="仿宋" w:eastAsia="仿宋" w:cs="仿宋"/>
        </w:rPr>
        <w:t>国内外铜供需关系分析及预测</w:t>
      </w:r>
      <w:r>
        <w:tab/>
      </w:r>
      <w:r>
        <w:fldChar w:fldCharType="begin"/>
      </w:r>
      <w:r>
        <w:instrText xml:space="preserve"> PAGEREF _Toc70684622 \h </w:instrText>
      </w:r>
      <w:r>
        <w:fldChar w:fldCharType="separate"/>
      </w:r>
      <w:r>
        <w:t>4</w:t>
      </w:r>
      <w:r>
        <w:fldChar w:fldCharType="end"/>
      </w:r>
      <w:r>
        <w:fldChar w:fldCharType="end"/>
      </w:r>
    </w:p>
    <w:p>
      <w:pPr>
        <w:pStyle w:val="8"/>
        <w:ind w:left="31680"/>
        <w:rPr>
          <w:rFonts w:ascii="Calibri" w:hAnsi="Calibri" w:cs="Calibri"/>
        </w:rPr>
      </w:pPr>
      <w:r>
        <w:fldChar w:fldCharType="begin"/>
      </w:r>
      <w:r>
        <w:instrText xml:space="preserve">HYPERLINK  \l "_Toc70684623" </w:instrText>
      </w:r>
      <w:r>
        <w:fldChar w:fldCharType="separate"/>
      </w:r>
      <w:r>
        <w:rPr>
          <w:rStyle w:val="17"/>
          <w:rFonts w:ascii="仿宋" w:hAnsi="仿宋" w:eastAsia="仿宋" w:cs="仿宋"/>
        </w:rPr>
        <w:t>4.</w:t>
      </w:r>
      <w:r>
        <w:rPr>
          <w:rStyle w:val="17"/>
          <w:rFonts w:hint="eastAsia" w:ascii="仿宋" w:hAnsi="仿宋" w:eastAsia="仿宋" w:cs="仿宋"/>
        </w:rPr>
        <w:t>国内铜加工产业竞争分析</w:t>
      </w:r>
      <w:r>
        <w:tab/>
      </w:r>
      <w:r>
        <w:fldChar w:fldCharType="begin"/>
      </w:r>
      <w:r>
        <w:instrText xml:space="preserve"> PAGEREF _Toc70684623 \h </w:instrText>
      </w:r>
      <w:r>
        <w:fldChar w:fldCharType="separate"/>
      </w:r>
      <w:r>
        <w:t>6</w:t>
      </w:r>
      <w:r>
        <w:fldChar w:fldCharType="end"/>
      </w:r>
      <w:r>
        <w:fldChar w:fldCharType="end"/>
      </w:r>
    </w:p>
    <w:p>
      <w:pPr>
        <w:pStyle w:val="8"/>
        <w:ind w:left="31680"/>
        <w:rPr>
          <w:rFonts w:ascii="Calibri" w:hAnsi="Calibri" w:cs="Calibri"/>
        </w:rPr>
      </w:pPr>
      <w:r>
        <w:fldChar w:fldCharType="begin"/>
      </w:r>
      <w:r>
        <w:instrText xml:space="preserve">HYPERLINK  \l "_Toc70684624" </w:instrText>
      </w:r>
      <w:r>
        <w:fldChar w:fldCharType="separate"/>
      </w:r>
      <w:r>
        <w:rPr>
          <w:rStyle w:val="17"/>
          <w:rFonts w:ascii="仿宋" w:hAnsi="仿宋" w:eastAsia="仿宋" w:cs="仿宋"/>
        </w:rPr>
        <w:t>5.</w:t>
      </w:r>
      <w:r>
        <w:rPr>
          <w:rStyle w:val="17"/>
          <w:rFonts w:hint="eastAsia" w:ascii="仿宋" w:hAnsi="仿宋" w:eastAsia="仿宋" w:cs="仿宋"/>
        </w:rPr>
        <w:t>国内重点领域铜需求前景分析</w:t>
      </w:r>
      <w:r>
        <w:tab/>
      </w:r>
      <w:r>
        <w:fldChar w:fldCharType="begin"/>
      </w:r>
      <w:r>
        <w:instrText xml:space="preserve"> PAGEREF _Toc70684624 \h </w:instrText>
      </w:r>
      <w:r>
        <w:fldChar w:fldCharType="separate"/>
      </w:r>
      <w:r>
        <w:t>9</w:t>
      </w:r>
      <w:r>
        <w:fldChar w:fldCharType="end"/>
      </w:r>
      <w:r>
        <w:fldChar w:fldCharType="end"/>
      </w:r>
    </w:p>
    <w:p>
      <w:pPr>
        <w:pStyle w:val="13"/>
        <w:ind w:left="31680"/>
        <w:rPr>
          <w:rFonts w:ascii="Calibri" w:hAnsi="Calibri" w:cs="Calibri"/>
        </w:rPr>
      </w:pPr>
      <w:r>
        <w:fldChar w:fldCharType="begin"/>
      </w:r>
      <w:r>
        <w:instrText xml:space="preserve">HYPERLINK  \l "_Toc70684625" </w:instrText>
      </w:r>
      <w:r>
        <w:fldChar w:fldCharType="separate"/>
      </w:r>
      <w:r>
        <w:rPr>
          <w:rStyle w:val="17"/>
          <w:rFonts w:hint="eastAsia" w:ascii="仿宋" w:hAnsi="仿宋" w:eastAsia="仿宋" w:cs="仿宋"/>
        </w:rPr>
        <w:t>（二）金产业发展现状及趋势</w:t>
      </w:r>
      <w:r>
        <w:tab/>
      </w:r>
      <w:r>
        <w:fldChar w:fldCharType="begin"/>
      </w:r>
      <w:r>
        <w:instrText xml:space="preserve"> PAGEREF _Toc70684625 \h </w:instrText>
      </w:r>
      <w:r>
        <w:fldChar w:fldCharType="separate"/>
      </w:r>
      <w:r>
        <w:t>10</w:t>
      </w:r>
      <w:r>
        <w:fldChar w:fldCharType="end"/>
      </w:r>
      <w:r>
        <w:fldChar w:fldCharType="end"/>
      </w:r>
    </w:p>
    <w:p>
      <w:pPr>
        <w:pStyle w:val="8"/>
        <w:ind w:left="31680"/>
        <w:rPr>
          <w:rFonts w:ascii="Calibri" w:hAnsi="Calibri" w:cs="Calibri"/>
        </w:rPr>
      </w:pPr>
      <w:r>
        <w:fldChar w:fldCharType="begin"/>
      </w:r>
      <w:r>
        <w:instrText xml:space="preserve">HYPERLINK  \l "_Toc70684626" </w:instrText>
      </w:r>
      <w:r>
        <w:fldChar w:fldCharType="separate"/>
      </w:r>
      <w:r>
        <w:rPr>
          <w:rStyle w:val="17"/>
          <w:rFonts w:ascii="仿宋" w:hAnsi="仿宋" w:eastAsia="仿宋" w:cs="仿宋"/>
        </w:rPr>
        <w:t>1.</w:t>
      </w:r>
      <w:r>
        <w:rPr>
          <w:rStyle w:val="17"/>
          <w:rFonts w:hint="eastAsia" w:ascii="仿宋" w:hAnsi="仿宋" w:eastAsia="仿宋" w:cs="仿宋"/>
        </w:rPr>
        <w:t>国内外金生产现状及趋势</w:t>
      </w:r>
      <w:r>
        <w:tab/>
      </w:r>
      <w:r>
        <w:fldChar w:fldCharType="begin"/>
      </w:r>
      <w:r>
        <w:instrText xml:space="preserve"> PAGEREF _Toc70684626 \h </w:instrText>
      </w:r>
      <w:r>
        <w:fldChar w:fldCharType="separate"/>
      </w:r>
      <w:r>
        <w:t>10</w:t>
      </w:r>
      <w:r>
        <w:fldChar w:fldCharType="end"/>
      </w:r>
      <w:r>
        <w:fldChar w:fldCharType="end"/>
      </w:r>
    </w:p>
    <w:p>
      <w:pPr>
        <w:pStyle w:val="8"/>
        <w:ind w:left="31680"/>
        <w:rPr>
          <w:rFonts w:ascii="Calibri" w:hAnsi="Calibri" w:cs="Calibri"/>
        </w:rPr>
      </w:pPr>
      <w:r>
        <w:fldChar w:fldCharType="begin"/>
      </w:r>
      <w:r>
        <w:instrText xml:space="preserve">HYPERLINK  \l "_Toc70684627" </w:instrText>
      </w:r>
      <w:r>
        <w:fldChar w:fldCharType="separate"/>
      </w:r>
      <w:r>
        <w:rPr>
          <w:rStyle w:val="17"/>
          <w:rFonts w:ascii="仿宋" w:hAnsi="仿宋" w:eastAsia="仿宋" w:cs="仿宋"/>
        </w:rPr>
        <w:t>2.</w:t>
      </w:r>
      <w:r>
        <w:rPr>
          <w:rStyle w:val="17"/>
          <w:rFonts w:hint="eastAsia" w:ascii="仿宋" w:hAnsi="仿宋" w:eastAsia="仿宋" w:cs="仿宋"/>
        </w:rPr>
        <w:t>国内外金需求现状及趋势</w:t>
      </w:r>
      <w:r>
        <w:tab/>
      </w:r>
      <w:r>
        <w:fldChar w:fldCharType="begin"/>
      </w:r>
      <w:r>
        <w:instrText xml:space="preserve"> PAGEREF _Toc70684627 \h </w:instrText>
      </w:r>
      <w:r>
        <w:fldChar w:fldCharType="separate"/>
      </w:r>
      <w:r>
        <w:t>11</w:t>
      </w:r>
      <w:r>
        <w:fldChar w:fldCharType="end"/>
      </w:r>
      <w:r>
        <w:fldChar w:fldCharType="end"/>
      </w:r>
    </w:p>
    <w:p>
      <w:pPr>
        <w:pStyle w:val="8"/>
        <w:ind w:left="31680"/>
        <w:rPr>
          <w:rFonts w:ascii="Calibri" w:hAnsi="Calibri" w:cs="Calibri"/>
        </w:rPr>
      </w:pPr>
      <w:r>
        <w:fldChar w:fldCharType="begin"/>
      </w:r>
      <w:r>
        <w:instrText xml:space="preserve">HYPERLINK  \l "_Toc70684628" </w:instrText>
      </w:r>
      <w:r>
        <w:fldChar w:fldCharType="separate"/>
      </w:r>
      <w:r>
        <w:rPr>
          <w:rStyle w:val="17"/>
          <w:rFonts w:ascii="仿宋" w:hAnsi="仿宋" w:eastAsia="仿宋" w:cs="仿宋"/>
        </w:rPr>
        <w:t>3.</w:t>
      </w:r>
      <w:r>
        <w:rPr>
          <w:rStyle w:val="17"/>
          <w:rFonts w:hint="eastAsia" w:ascii="仿宋" w:hAnsi="仿宋" w:eastAsia="仿宋" w:cs="仿宋"/>
        </w:rPr>
        <w:t>国内金消费重点领域分析及展望</w:t>
      </w:r>
      <w:r>
        <w:tab/>
      </w:r>
      <w:r>
        <w:fldChar w:fldCharType="begin"/>
      </w:r>
      <w:r>
        <w:instrText xml:space="preserve"> PAGEREF _Toc70684628 \h </w:instrText>
      </w:r>
      <w:r>
        <w:fldChar w:fldCharType="separate"/>
      </w:r>
      <w:r>
        <w:t>12</w:t>
      </w:r>
      <w:r>
        <w:fldChar w:fldCharType="end"/>
      </w:r>
      <w:r>
        <w:fldChar w:fldCharType="end"/>
      </w:r>
    </w:p>
    <w:p>
      <w:pPr>
        <w:pStyle w:val="13"/>
        <w:ind w:left="31680"/>
        <w:rPr>
          <w:rFonts w:ascii="Calibri" w:hAnsi="Calibri" w:cs="Calibri"/>
        </w:rPr>
      </w:pPr>
      <w:r>
        <w:fldChar w:fldCharType="begin"/>
      </w:r>
      <w:r>
        <w:instrText xml:space="preserve">HYPERLINK  \l "_Toc70684629" </w:instrText>
      </w:r>
      <w:r>
        <w:fldChar w:fldCharType="separate"/>
      </w:r>
      <w:r>
        <w:rPr>
          <w:rStyle w:val="17"/>
          <w:rFonts w:hint="eastAsia" w:ascii="仿宋" w:hAnsi="仿宋" w:eastAsia="仿宋" w:cs="仿宋"/>
        </w:rPr>
        <w:t>（三）稀土产业发展现状及趋势</w:t>
      </w:r>
      <w:r>
        <w:tab/>
      </w:r>
      <w:r>
        <w:fldChar w:fldCharType="begin"/>
      </w:r>
      <w:r>
        <w:instrText xml:space="preserve"> PAGEREF _Toc70684629 \h </w:instrText>
      </w:r>
      <w:r>
        <w:fldChar w:fldCharType="separate"/>
      </w:r>
      <w:r>
        <w:t>14</w:t>
      </w:r>
      <w:r>
        <w:fldChar w:fldCharType="end"/>
      </w:r>
      <w:r>
        <w:fldChar w:fldCharType="end"/>
      </w:r>
    </w:p>
    <w:p>
      <w:pPr>
        <w:pStyle w:val="8"/>
        <w:ind w:left="31680"/>
        <w:rPr>
          <w:rFonts w:ascii="Calibri" w:hAnsi="Calibri" w:cs="Calibri"/>
        </w:rPr>
      </w:pPr>
      <w:r>
        <w:fldChar w:fldCharType="begin"/>
      </w:r>
      <w:r>
        <w:instrText xml:space="preserve">HYPERLINK  \l "_Toc70684630" </w:instrText>
      </w:r>
      <w:r>
        <w:fldChar w:fldCharType="separate"/>
      </w:r>
      <w:r>
        <w:rPr>
          <w:rStyle w:val="17"/>
          <w:rFonts w:ascii="仿宋" w:hAnsi="仿宋" w:eastAsia="仿宋" w:cs="仿宋"/>
        </w:rPr>
        <w:t>1.</w:t>
      </w:r>
      <w:r>
        <w:rPr>
          <w:rStyle w:val="17"/>
          <w:rFonts w:hint="eastAsia" w:ascii="仿宋" w:hAnsi="仿宋" w:eastAsia="仿宋" w:cs="仿宋"/>
        </w:rPr>
        <w:t>全球稀土资源分布</w:t>
      </w:r>
      <w:r>
        <w:tab/>
      </w:r>
      <w:r>
        <w:fldChar w:fldCharType="begin"/>
      </w:r>
      <w:r>
        <w:instrText xml:space="preserve"> PAGEREF _Toc70684630 \h </w:instrText>
      </w:r>
      <w:r>
        <w:fldChar w:fldCharType="separate"/>
      </w:r>
      <w:r>
        <w:t>14</w:t>
      </w:r>
      <w:r>
        <w:fldChar w:fldCharType="end"/>
      </w:r>
      <w:r>
        <w:fldChar w:fldCharType="end"/>
      </w:r>
    </w:p>
    <w:p>
      <w:pPr>
        <w:pStyle w:val="8"/>
        <w:ind w:left="31680"/>
        <w:rPr>
          <w:rFonts w:ascii="Calibri" w:hAnsi="Calibri" w:cs="Calibri"/>
        </w:rPr>
      </w:pPr>
      <w:r>
        <w:fldChar w:fldCharType="begin"/>
      </w:r>
      <w:r>
        <w:instrText xml:space="preserve">HYPERLINK  \l "_Toc70684631" </w:instrText>
      </w:r>
      <w:r>
        <w:fldChar w:fldCharType="separate"/>
      </w:r>
      <w:r>
        <w:rPr>
          <w:rStyle w:val="17"/>
          <w:rFonts w:ascii="仿宋" w:hAnsi="仿宋" w:eastAsia="仿宋" w:cs="仿宋"/>
        </w:rPr>
        <w:t>2.</w:t>
      </w:r>
      <w:r>
        <w:rPr>
          <w:rStyle w:val="17"/>
          <w:rFonts w:hint="eastAsia" w:ascii="仿宋" w:hAnsi="仿宋" w:eastAsia="仿宋" w:cs="仿宋"/>
        </w:rPr>
        <w:t>国内外稀土生产现状及趋势</w:t>
      </w:r>
      <w:r>
        <w:tab/>
      </w:r>
      <w:r>
        <w:fldChar w:fldCharType="begin"/>
      </w:r>
      <w:r>
        <w:instrText xml:space="preserve"> PAGEREF _Toc70684631 \h </w:instrText>
      </w:r>
      <w:r>
        <w:fldChar w:fldCharType="separate"/>
      </w:r>
      <w:r>
        <w:t>15</w:t>
      </w:r>
      <w:r>
        <w:fldChar w:fldCharType="end"/>
      </w:r>
      <w:r>
        <w:fldChar w:fldCharType="end"/>
      </w:r>
    </w:p>
    <w:p>
      <w:pPr>
        <w:pStyle w:val="8"/>
        <w:ind w:left="31680"/>
        <w:rPr>
          <w:rFonts w:ascii="Calibri" w:hAnsi="Calibri" w:cs="Calibri"/>
        </w:rPr>
      </w:pPr>
      <w:r>
        <w:fldChar w:fldCharType="begin"/>
      </w:r>
      <w:r>
        <w:instrText xml:space="preserve">HYPERLINK  \l "_Toc70684632" </w:instrText>
      </w:r>
      <w:r>
        <w:fldChar w:fldCharType="separate"/>
      </w:r>
      <w:r>
        <w:rPr>
          <w:rStyle w:val="17"/>
          <w:rFonts w:ascii="仿宋" w:hAnsi="仿宋" w:eastAsia="仿宋" w:cs="仿宋"/>
        </w:rPr>
        <w:t>3.</w:t>
      </w:r>
      <w:r>
        <w:rPr>
          <w:rStyle w:val="17"/>
          <w:rFonts w:hint="eastAsia" w:ascii="仿宋" w:hAnsi="仿宋" w:eastAsia="仿宋" w:cs="仿宋"/>
        </w:rPr>
        <w:t>国内外稀土消费结构及趋势</w:t>
      </w:r>
      <w:r>
        <w:tab/>
      </w:r>
      <w:r>
        <w:fldChar w:fldCharType="begin"/>
      </w:r>
      <w:r>
        <w:instrText xml:space="preserve"> PAGEREF _Toc70684632 \h </w:instrText>
      </w:r>
      <w:r>
        <w:fldChar w:fldCharType="separate"/>
      </w:r>
      <w:r>
        <w:t>16</w:t>
      </w:r>
      <w:r>
        <w:fldChar w:fldCharType="end"/>
      </w:r>
      <w:r>
        <w:fldChar w:fldCharType="end"/>
      </w:r>
    </w:p>
    <w:p>
      <w:pPr>
        <w:pStyle w:val="8"/>
        <w:ind w:left="31680"/>
        <w:rPr>
          <w:rFonts w:ascii="Calibri" w:hAnsi="Calibri" w:cs="Calibri"/>
        </w:rPr>
      </w:pPr>
      <w:r>
        <w:fldChar w:fldCharType="begin"/>
      </w:r>
      <w:r>
        <w:instrText xml:space="preserve">HYPERLINK  \l "_Toc70684633" </w:instrText>
      </w:r>
      <w:r>
        <w:fldChar w:fldCharType="separate"/>
      </w:r>
      <w:r>
        <w:rPr>
          <w:rStyle w:val="17"/>
          <w:rFonts w:ascii="仿宋" w:hAnsi="仿宋" w:eastAsia="仿宋" w:cs="仿宋"/>
        </w:rPr>
        <w:t>4.</w:t>
      </w:r>
      <w:r>
        <w:rPr>
          <w:rStyle w:val="17"/>
          <w:rFonts w:hint="eastAsia" w:ascii="仿宋" w:hAnsi="仿宋" w:eastAsia="仿宋" w:cs="仿宋"/>
        </w:rPr>
        <w:t>国内稀土生产与进出口政策</w:t>
      </w:r>
      <w:r>
        <w:tab/>
      </w:r>
      <w:r>
        <w:fldChar w:fldCharType="begin"/>
      </w:r>
      <w:r>
        <w:instrText xml:space="preserve"> PAGEREF _Toc70684633 \h </w:instrText>
      </w:r>
      <w:r>
        <w:fldChar w:fldCharType="separate"/>
      </w:r>
      <w:r>
        <w:t>17</w:t>
      </w:r>
      <w:r>
        <w:fldChar w:fldCharType="end"/>
      </w:r>
      <w:r>
        <w:fldChar w:fldCharType="end"/>
      </w:r>
    </w:p>
    <w:p>
      <w:pPr>
        <w:pStyle w:val="13"/>
        <w:ind w:left="31680"/>
        <w:rPr>
          <w:rFonts w:ascii="Calibri" w:hAnsi="Calibri" w:cs="Calibri"/>
        </w:rPr>
      </w:pPr>
      <w:r>
        <w:fldChar w:fldCharType="begin"/>
      </w:r>
      <w:r>
        <w:instrText xml:space="preserve">HYPERLINK  \l "_Toc70684634" </w:instrText>
      </w:r>
      <w:r>
        <w:fldChar w:fldCharType="separate"/>
      </w:r>
      <w:r>
        <w:rPr>
          <w:rStyle w:val="17"/>
          <w:rFonts w:hint="eastAsia" w:ascii="仿宋" w:hAnsi="仿宋" w:eastAsia="仿宋" w:cs="仿宋"/>
        </w:rPr>
        <w:t>（四）钨产业发展现状及趋势</w:t>
      </w:r>
      <w:r>
        <w:tab/>
      </w:r>
      <w:r>
        <w:fldChar w:fldCharType="begin"/>
      </w:r>
      <w:r>
        <w:instrText xml:space="preserve"> PAGEREF _Toc70684634 \h </w:instrText>
      </w:r>
      <w:r>
        <w:fldChar w:fldCharType="separate"/>
      </w:r>
      <w:r>
        <w:t>18</w:t>
      </w:r>
      <w:r>
        <w:fldChar w:fldCharType="end"/>
      </w:r>
      <w:r>
        <w:fldChar w:fldCharType="end"/>
      </w:r>
    </w:p>
    <w:p>
      <w:pPr>
        <w:pStyle w:val="8"/>
        <w:ind w:left="31680"/>
        <w:rPr>
          <w:rFonts w:ascii="Calibri" w:hAnsi="Calibri" w:cs="Calibri"/>
        </w:rPr>
      </w:pPr>
      <w:r>
        <w:fldChar w:fldCharType="begin"/>
      </w:r>
      <w:r>
        <w:instrText xml:space="preserve">HYPERLINK  \l "_Toc70684635" </w:instrText>
      </w:r>
      <w:r>
        <w:fldChar w:fldCharType="separate"/>
      </w:r>
      <w:r>
        <w:rPr>
          <w:rStyle w:val="17"/>
          <w:rFonts w:ascii="仿宋" w:hAnsi="仿宋" w:eastAsia="仿宋" w:cs="仿宋"/>
        </w:rPr>
        <w:t>1.</w:t>
      </w:r>
      <w:r>
        <w:rPr>
          <w:rStyle w:val="17"/>
          <w:rFonts w:hint="eastAsia" w:ascii="仿宋" w:hAnsi="仿宋" w:eastAsia="仿宋" w:cs="仿宋"/>
        </w:rPr>
        <w:t>国内外钨市场供需关系分析与预测</w:t>
      </w:r>
      <w:r>
        <w:tab/>
      </w:r>
      <w:r>
        <w:fldChar w:fldCharType="begin"/>
      </w:r>
      <w:r>
        <w:instrText xml:space="preserve"> PAGEREF _Toc70684635 \h </w:instrText>
      </w:r>
      <w:r>
        <w:fldChar w:fldCharType="separate"/>
      </w:r>
      <w:r>
        <w:t>18</w:t>
      </w:r>
      <w:r>
        <w:fldChar w:fldCharType="end"/>
      </w:r>
      <w:r>
        <w:fldChar w:fldCharType="end"/>
      </w:r>
    </w:p>
    <w:p>
      <w:pPr>
        <w:pStyle w:val="8"/>
        <w:ind w:left="31680"/>
        <w:rPr>
          <w:rFonts w:ascii="Calibri" w:hAnsi="Calibri" w:cs="Calibri"/>
        </w:rPr>
      </w:pPr>
      <w:r>
        <w:fldChar w:fldCharType="begin"/>
      </w:r>
      <w:r>
        <w:instrText xml:space="preserve">HYPERLINK  \l "_Toc70684636" </w:instrText>
      </w:r>
      <w:r>
        <w:fldChar w:fldCharType="separate"/>
      </w:r>
      <w:r>
        <w:rPr>
          <w:rStyle w:val="17"/>
          <w:rFonts w:ascii="仿宋" w:hAnsi="仿宋" w:eastAsia="仿宋" w:cs="仿宋"/>
        </w:rPr>
        <w:t>2.</w:t>
      </w:r>
      <w:r>
        <w:rPr>
          <w:rStyle w:val="17"/>
          <w:rFonts w:hint="eastAsia" w:ascii="仿宋" w:hAnsi="仿宋" w:eastAsia="仿宋" w:cs="仿宋"/>
        </w:rPr>
        <w:t>国内外钨消费结构与趋势</w:t>
      </w:r>
      <w:r>
        <w:tab/>
      </w:r>
      <w:r>
        <w:fldChar w:fldCharType="begin"/>
      </w:r>
      <w:r>
        <w:instrText xml:space="preserve"> PAGEREF _Toc70684636 \h </w:instrText>
      </w:r>
      <w:r>
        <w:fldChar w:fldCharType="separate"/>
      </w:r>
      <w:r>
        <w:t>21</w:t>
      </w:r>
      <w:r>
        <w:fldChar w:fldCharType="end"/>
      </w:r>
      <w:r>
        <w:fldChar w:fldCharType="end"/>
      </w:r>
    </w:p>
    <w:p>
      <w:pPr>
        <w:pStyle w:val="8"/>
        <w:ind w:left="31680"/>
        <w:rPr>
          <w:rFonts w:ascii="Calibri" w:hAnsi="Calibri" w:cs="Calibri"/>
        </w:rPr>
      </w:pPr>
      <w:r>
        <w:fldChar w:fldCharType="begin"/>
      </w:r>
      <w:r>
        <w:instrText xml:space="preserve">HYPERLINK  \l "_Toc70684637" </w:instrText>
      </w:r>
      <w:r>
        <w:fldChar w:fldCharType="separate"/>
      </w:r>
      <w:r>
        <w:rPr>
          <w:rStyle w:val="17"/>
          <w:rFonts w:ascii="仿宋" w:hAnsi="仿宋" w:eastAsia="仿宋" w:cs="仿宋"/>
        </w:rPr>
        <w:t>3.</w:t>
      </w:r>
      <w:r>
        <w:rPr>
          <w:rStyle w:val="17"/>
          <w:rFonts w:hint="eastAsia" w:ascii="仿宋" w:hAnsi="仿宋" w:eastAsia="仿宋" w:cs="仿宋"/>
        </w:rPr>
        <w:t>国内钨生产与进出口相关政策</w:t>
      </w:r>
      <w:r>
        <w:tab/>
      </w:r>
      <w:r>
        <w:fldChar w:fldCharType="begin"/>
      </w:r>
      <w:r>
        <w:instrText xml:space="preserve"> PAGEREF _Toc70684637 \h </w:instrText>
      </w:r>
      <w:r>
        <w:fldChar w:fldCharType="separate"/>
      </w:r>
      <w:r>
        <w:t>24</w:t>
      </w:r>
      <w:r>
        <w:fldChar w:fldCharType="end"/>
      </w:r>
      <w:r>
        <w:fldChar w:fldCharType="end"/>
      </w:r>
    </w:p>
    <w:p>
      <w:pPr>
        <w:pStyle w:val="12"/>
        <w:rPr>
          <w:rFonts w:ascii="Calibri" w:hAnsi="Calibri" w:cs="Calibri"/>
        </w:rPr>
      </w:pPr>
      <w:r>
        <w:fldChar w:fldCharType="begin"/>
      </w:r>
      <w:r>
        <w:instrText xml:space="preserve">HYPERLINK  \l "_Toc70684638" </w:instrText>
      </w:r>
      <w:r>
        <w:fldChar w:fldCharType="separate"/>
      </w:r>
      <w:r>
        <w:rPr>
          <w:rStyle w:val="17"/>
          <w:rFonts w:hint="eastAsia" w:ascii="黑体" w:hAnsi="黑体" w:eastAsia="黑体" w:cs="黑体"/>
        </w:rPr>
        <w:t>三、龙岩市有色金属产业发展现状</w:t>
      </w:r>
      <w:r>
        <w:tab/>
      </w:r>
      <w:r>
        <w:fldChar w:fldCharType="begin"/>
      </w:r>
      <w:r>
        <w:instrText xml:space="preserve"> PAGEREF _Toc70684638 \h </w:instrText>
      </w:r>
      <w:r>
        <w:fldChar w:fldCharType="separate"/>
      </w:r>
      <w:r>
        <w:t>25</w:t>
      </w:r>
      <w:r>
        <w:fldChar w:fldCharType="end"/>
      </w:r>
      <w:r>
        <w:fldChar w:fldCharType="end"/>
      </w:r>
    </w:p>
    <w:p>
      <w:pPr>
        <w:pStyle w:val="13"/>
        <w:ind w:left="31680"/>
        <w:rPr>
          <w:rFonts w:ascii="Calibri" w:hAnsi="Calibri" w:cs="Calibri"/>
        </w:rPr>
      </w:pPr>
      <w:r>
        <w:fldChar w:fldCharType="begin"/>
      </w:r>
      <w:r>
        <w:instrText xml:space="preserve">HYPERLINK  \l "_Toc70684639" </w:instrText>
      </w:r>
      <w:r>
        <w:fldChar w:fldCharType="separate"/>
      </w:r>
      <w:r>
        <w:rPr>
          <w:rStyle w:val="17"/>
          <w:rFonts w:hint="eastAsia" w:ascii="仿宋" w:hAnsi="仿宋" w:eastAsia="仿宋" w:cs="仿宋"/>
        </w:rPr>
        <w:t>（一）龙岩市经济发展概况</w:t>
      </w:r>
      <w:r>
        <w:tab/>
      </w:r>
      <w:r>
        <w:fldChar w:fldCharType="begin"/>
      </w:r>
      <w:r>
        <w:instrText xml:space="preserve"> PAGEREF _Toc70684639 \h </w:instrText>
      </w:r>
      <w:r>
        <w:fldChar w:fldCharType="separate"/>
      </w:r>
      <w:r>
        <w:t>25</w:t>
      </w:r>
      <w:r>
        <w:fldChar w:fldCharType="end"/>
      </w:r>
      <w:r>
        <w:fldChar w:fldCharType="end"/>
      </w:r>
    </w:p>
    <w:p>
      <w:pPr>
        <w:pStyle w:val="13"/>
        <w:ind w:left="31680"/>
        <w:rPr>
          <w:rFonts w:ascii="Calibri" w:hAnsi="Calibri" w:cs="Calibri"/>
        </w:rPr>
      </w:pPr>
      <w:r>
        <w:fldChar w:fldCharType="begin"/>
      </w:r>
      <w:r>
        <w:instrText xml:space="preserve">HYPERLINK  \l "_Toc70684640" </w:instrText>
      </w:r>
      <w:r>
        <w:fldChar w:fldCharType="separate"/>
      </w:r>
      <w:r>
        <w:rPr>
          <w:rStyle w:val="17"/>
          <w:rFonts w:hint="eastAsia" w:ascii="仿宋" w:hAnsi="仿宋" w:eastAsia="仿宋" w:cs="仿宋"/>
        </w:rPr>
        <w:t>（二）龙岩市有色产业发展现状</w:t>
      </w:r>
      <w:r>
        <w:tab/>
      </w:r>
      <w:r>
        <w:fldChar w:fldCharType="begin"/>
      </w:r>
      <w:r>
        <w:instrText xml:space="preserve"> PAGEREF _Toc70684640 \h </w:instrText>
      </w:r>
      <w:r>
        <w:fldChar w:fldCharType="separate"/>
      </w:r>
      <w:r>
        <w:t>26</w:t>
      </w:r>
      <w:r>
        <w:fldChar w:fldCharType="end"/>
      </w:r>
      <w:r>
        <w:fldChar w:fldCharType="end"/>
      </w:r>
    </w:p>
    <w:p>
      <w:pPr>
        <w:pStyle w:val="8"/>
        <w:ind w:left="31680"/>
        <w:rPr>
          <w:rFonts w:ascii="Calibri" w:hAnsi="Calibri" w:cs="Calibri"/>
        </w:rPr>
      </w:pPr>
      <w:r>
        <w:fldChar w:fldCharType="begin"/>
      </w:r>
      <w:r>
        <w:instrText xml:space="preserve">HYPERLINK  \l "_Toc70684641" </w:instrText>
      </w:r>
      <w:r>
        <w:fldChar w:fldCharType="separate"/>
      </w:r>
      <w:r>
        <w:rPr>
          <w:rStyle w:val="17"/>
          <w:rFonts w:ascii="仿宋" w:hAnsi="仿宋" w:eastAsia="仿宋" w:cs="仿宋"/>
        </w:rPr>
        <w:t>1.</w:t>
      </w:r>
      <w:r>
        <w:rPr>
          <w:rStyle w:val="17"/>
          <w:rFonts w:hint="eastAsia" w:ascii="仿宋" w:hAnsi="仿宋" w:eastAsia="仿宋" w:cs="仿宋"/>
        </w:rPr>
        <w:t>铜产业发展现状</w:t>
      </w:r>
      <w:r>
        <w:tab/>
      </w:r>
      <w:r>
        <w:fldChar w:fldCharType="begin"/>
      </w:r>
      <w:r>
        <w:instrText xml:space="preserve"> PAGEREF _Toc70684641 \h </w:instrText>
      </w:r>
      <w:r>
        <w:fldChar w:fldCharType="separate"/>
      </w:r>
      <w:r>
        <w:t>27</w:t>
      </w:r>
      <w:r>
        <w:fldChar w:fldCharType="end"/>
      </w:r>
      <w:r>
        <w:fldChar w:fldCharType="end"/>
      </w:r>
    </w:p>
    <w:p>
      <w:pPr>
        <w:pStyle w:val="8"/>
        <w:ind w:left="31680"/>
        <w:rPr>
          <w:rFonts w:ascii="Calibri" w:hAnsi="Calibri" w:cs="Calibri"/>
        </w:rPr>
      </w:pPr>
      <w:r>
        <w:fldChar w:fldCharType="begin"/>
      </w:r>
      <w:r>
        <w:instrText xml:space="preserve">HYPERLINK  \l "_Toc70684642" </w:instrText>
      </w:r>
      <w:r>
        <w:fldChar w:fldCharType="separate"/>
      </w:r>
      <w:r>
        <w:rPr>
          <w:rStyle w:val="17"/>
          <w:rFonts w:ascii="仿宋" w:hAnsi="仿宋" w:eastAsia="仿宋" w:cs="仿宋"/>
        </w:rPr>
        <w:t>2.</w:t>
      </w:r>
      <w:r>
        <w:rPr>
          <w:rStyle w:val="17"/>
          <w:rFonts w:hint="eastAsia" w:ascii="仿宋" w:hAnsi="仿宋" w:eastAsia="仿宋" w:cs="仿宋"/>
        </w:rPr>
        <w:t>金产业发展现状</w:t>
      </w:r>
      <w:r>
        <w:tab/>
      </w:r>
      <w:r>
        <w:fldChar w:fldCharType="begin"/>
      </w:r>
      <w:r>
        <w:instrText xml:space="preserve"> PAGEREF _Toc70684642 \h </w:instrText>
      </w:r>
      <w:r>
        <w:fldChar w:fldCharType="separate"/>
      </w:r>
      <w:r>
        <w:t>28</w:t>
      </w:r>
      <w:r>
        <w:fldChar w:fldCharType="end"/>
      </w:r>
      <w:r>
        <w:fldChar w:fldCharType="end"/>
      </w:r>
    </w:p>
    <w:p>
      <w:pPr>
        <w:pStyle w:val="8"/>
        <w:ind w:left="31680"/>
        <w:rPr>
          <w:rFonts w:ascii="Calibri" w:hAnsi="Calibri" w:cs="Calibri"/>
        </w:rPr>
      </w:pPr>
      <w:r>
        <w:fldChar w:fldCharType="begin"/>
      </w:r>
      <w:r>
        <w:instrText xml:space="preserve">HYPERLINK  \l "_Toc70684643" </w:instrText>
      </w:r>
      <w:r>
        <w:fldChar w:fldCharType="separate"/>
      </w:r>
      <w:r>
        <w:rPr>
          <w:rStyle w:val="17"/>
          <w:rFonts w:ascii="仿宋" w:hAnsi="仿宋" w:eastAsia="仿宋" w:cs="仿宋"/>
        </w:rPr>
        <w:t>3.</w:t>
      </w:r>
      <w:r>
        <w:rPr>
          <w:rStyle w:val="17"/>
          <w:rFonts w:hint="eastAsia" w:ascii="仿宋" w:hAnsi="仿宋" w:eastAsia="仿宋" w:cs="仿宋"/>
        </w:rPr>
        <w:t>稀土产业发展现状</w:t>
      </w:r>
      <w:r>
        <w:tab/>
      </w:r>
      <w:r>
        <w:fldChar w:fldCharType="begin"/>
      </w:r>
      <w:r>
        <w:instrText xml:space="preserve"> PAGEREF _Toc70684643 \h </w:instrText>
      </w:r>
      <w:r>
        <w:fldChar w:fldCharType="separate"/>
      </w:r>
      <w:r>
        <w:t>28</w:t>
      </w:r>
      <w:r>
        <w:fldChar w:fldCharType="end"/>
      </w:r>
      <w:r>
        <w:fldChar w:fldCharType="end"/>
      </w:r>
    </w:p>
    <w:p>
      <w:pPr>
        <w:pStyle w:val="8"/>
        <w:ind w:left="31680"/>
        <w:rPr>
          <w:rFonts w:ascii="Calibri" w:hAnsi="Calibri" w:cs="Calibri"/>
        </w:rPr>
      </w:pPr>
      <w:r>
        <w:fldChar w:fldCharType="begin"/>
      </w:r>
      <w:r>
        <w:instrText xml:space="preserve">HYPERLINK  \l "_Toc70684644" </w:instrText>
      </w:r>
      <w:r>
        <w:fldChar w:fldCharType="separate"/>
      </w:r>
      <w:r>
        <w:rPr>
          <w:rStyle w:val="17"/>
          <w:rFonts w:ascii="仿宋" w:hAnsi="仿宋" w:eastAsia="仿宋" w:cs="仿宋"/>
        </w:rPr>
        <w:t>4.</w:t>
      </w:r>
      <w:r>
        <w:rPr>
          <w:rStyle w:val="17"/>
          <w:rFonts w:hint="eastAsia" w:ascii="仿宋" w:hAnsi="仿宋" w:eastAsia="仿宋" w:cs="仿宋"/>
        </w:rPr>
        <w:t>钨产业发展现状</w:t>
      </w:r>
      <w:r>
        <w:tab/>
      </w:r>
      <w:r>
        <w:fldChar w:fldCharType="begin"/>
      </w:r>
      <w:r>
        <w:instrText xml:space="preserve"> PAGEREF _Toc70684644 \h </w:instrText>
      </w:r>
      <w:r>
        <w:fldChar w:fldCharType="separate"/>
      </w:r>
      <w:r>
        <w:t>30</w:t>
      </w:r>
      <w:r>
        <w:fldChar w:fldCharType="end"/>
      </w:r>
      <w:r>
        <w:fldChar w:fldCharType="end"/>
      </w:r>
    </w:p>
    <w:p>
      <w:pPr>
        <w:pStyle w:val="13"/>
        <w:ind w:left="31680"/>
        <w:rPr>
          <w:rFonts w:ascii="Calibri" w:hAnsi="Calibri" w:cs="Calibri"/>
        </w:rPr>
      </w:pPr>
      <w:r>
        <w:fldChar w:fldCharType="begin"/>
      </w:r>
      <w:r>
        <w:instrText xml:space="preserve">HYPERLINK  \l "_Toc70684645" </w:instrText>
      </w:r>
      <w:r>
        <w:fldChar w:fldCharType="separate"/>
      </w:r>
      <w:r>
        <w:rPr>
          <w:rStyle w:val="17"/>
          <w:rFonts w:hint="eastAsia" w:ascii="仿宋" w:hAnsi="仿宋" w:eastAsia="仿宋" w:cs="仿宋"/>
        </w:rPr>
        <w:t>（三）有色产业发展条件分析</w:t>
      </w:r>
      <w:r>
        <w:tab/>
      </w:r>
      <w:r>
        <w:fldChar w:fldCharType="begin"/>
      </w:r>
      <w:r>
        <w:instrText xml:space="preserve"> PAGEREF _Toc70684645 \h </w:instrText>
      </w:r>
      <w:r>
        <w:fldChar w:fldCharType="separate"/>
      </w:r>
      <w:r>
        <w:t>32</w:t>
      </w:r>
      <w:r>
        <w:fldChar w:fldCharType="end"/>
      </w:r>
      <w:r>
        <w:fldChar w:fldCharType="end"/>
      </w:r>
    </w:p>
    <w:p>
      <w:pPr>
        <w:pStyle w:val="8"/>
        <w:ind w:left="31680"/>
        <w:rPr>
          <w:rFonts w:ascii="Calibri" w:hAnsi="Calibri" w:cs="Calibri"/>
        </w:rPr>
      </w:pPr>
      <w:r>
        <w:fldChar w:fldCharType="begin"/>
      </w:r>
      <w:r>
        <w:instrText xml:space="preserve">HYPERLINK  \l "_Toc70684646" </w:instrText>
      </w:r>
      <w:r>
        <w:fldChar w:fldCharType="separate"/>
      </w:r>
      <w:r>
        <w:rPr>
          <w:rStyle w:val="17"/>
          <w:rFonts w:ascii="仿宋" w:hAnsi="仿宋" w:eastAsia="仿宋" w:cs="仿宋"/>
        </w:rPr>
        <w:t>1.</w:t>
      </w:r>
      <w:r>
        <w:rPr>
          <w:rStyle w:val="17"/>
          <w:rFonts w:hint="eastAsia" w:ascii="仿宋" w:hAnsi="仿宋" w:eastAsia="仿宋" w:cs="仿宋"/>
        </w:rPr>
        <w:t>基础设施条件</w:t>
      </w:r>
      <w:r>
        <w:tab/>
      </w:r>
      <w:r>
        <w:fldChar w:fldCharType="begin"/>
      </w:r>
      <w:r>
        <w:instrText xml:space="preserve"> PAGEREF _Toc70684646 \h </w:instrText>
      </w:r>
      <w:r>
        <w:fldChar w:fldCharType="separate"/>
      </w:r>
      <w:r>
        <w:t>32</w:t>
      </w:r>
      <w:r>
        <w:fldChar w:fldCharType="end"/>
      </w:r>
      <w:r>
        <w:fldChar w:fldCharType="end"/>
      </w:r>
    </w:p>
    <w:p>
      <w:pPr>
        <w:pStyle w:val="8"/>
        <w:ind w:left="31680"/>
        <w:rPr>
          <w:rFonts w:ascii="Calibri" w:hAnsi="Calibri" w:cs="Calibri"/>
        </w:rPr>
      </w:pPr>
      <w:r>
        <w:fldChar w:fldCharType="begin"/>
      </w:r>
      <w:r>
        <w:instrText xml:space="preserve">HYPERLINK  \l "_Toc70684647" </w:instrText>
      </w:r>
      <w:r>
        <w:fldChar w:fldCharType="separate"/>
      </w:r>
      <w:r>
        <w:rPr>
          <w:rStyle w:val="17"/>
          <w:rFonts w:ascii="仿宋" w:hAnsi="仿宋" w:eastAsia="仿宋" w:cs="仿宋"/>
        </w:rPr>
        <w:t>2.</w:t>
      </w:r>
      <w:r>
        <w:rPr>
          <w:rStyle w:val="17"/>
          <w:rFonts w:hint="eastAsia" w:ascii="仿宋" w:hAnsi="仿宋" w:eastAsia="仿宋" w:cs="仿宋"/>
        </w:rPr>
        <w:t>产业配套</w:t>
      </w:r>
      <w:r>
        <w:tab/>
      </w:r>
      <w:r>
        <w:fldChar w:fldCharType="begin"/>
      </w:r>
      <w:r>
        <w:instrText xml:space="preserve"> PAGEREF _Toc70684647 \h </w:instrText>
      </w:r>
      <w:r>
        <w:fldChar w:fldCharType="separate"/>
      </w:r>
      <w:r>
        <w:t>33</w:t>
      </w:r>
      <w:r>
        <w:fldChar w:fldCharType="end"/>
      </w:r>
      <w:r>
        <w:fldChar w:fldCharType="end"/>
      </w:r>
    </w:p>
    <w:p>
      <w:pPr>
        <w:pStyle w:val="8"/>
        <w:ind w:left="31680"/>
        <w:rPr>
          <w:rFonts w:ascii="Calibri" w:hAnsi="Calibri" w:cs="Calibri"/>
        </w:rPr>
      </w:pPr>
      <w:r>
        <w:fldChar w:fldCharType="begin"/>
      </w:r>
      <w:r>
        <w:instrText xml:space="preserve">HYPERLINK  \l "_Toc70684648" </w:instrText>
      </w:r>
      <w:r>
        <w:fldChar w:fldCharType="separate"/>
      </w:r>
      <w:r>
        <w:rPr>
          <w:rStyle w:val="17"/>
          <w:rFonts w:ascii="仿宋" w:hAnsi="仿宋" w:eastAsia="仿宋" w:cs="仿宋"/>
        </w:rPr>
        <w:t>3.</w:t>
      </w:r>
      <w:r>
        <w:rPr>
          <w:rStyle w:val="17"/>
          <w:rFonts w:hint="eastAsia" w:ascii="仿宋" w:hAnsi="仿宋" w:eastAsia="仿宋" w:cs="仿宋"/>
        </w:rPr>
        <w:t>优势与不足</w:t>
      </w:r>
      <w:r>
        <w:tab/>
      </w:r>
      <w:r>
        <w:fldChar w:fldCharType="begin"/>
      </w:r>
      <w:r>
        <w:instrText xml:space="preserve"> PAGEREF _Toc70684648 \h </w:instrText>
      </w:r>
      <w:r>
        <w:fldChar w:fldCharType="separate"/>
      </w:r>
      <w:r>
        <w:t>33</w:t>
      </w:r>
      <w:r>
        <w:fldChar w:fldCharType="end"/>
      </w:r>
      <w:r>
        <w:fldChar w:fldCharType="end"/>
      </w:r>
    </w:p>
    <w:p>
      <w:pPr>
        <w:pStyle w:val="12"/>
        <w:rPr>
          <w:rFonts w:ascii="Calibri" w:hAnsi="Calibri" w:cs="Calibri"/>
        </w:rPr>
      </w:pPr>
      <w:r>
        <w:fldChar w:fldCharType="begin"/>
      </w:r>
      <w:r>
        <w:instrText xml:space="preserve">HYPERLINK  \l "_Toc70684649" </w:instrText>
      </w:r>
      <w:r>
        <w:fldChar w:fldCharType="separate"/>
      </w:r>
      <w:r>
        <w:rPr>
          <w:rStyle w:val="17"/>
          <w:rFonts w:hint="eastAsia" w:ascii="黑体" w:hAnsi="黑体" w:eastAsia="黑体" w:cs="黑体"/>
        </w:rPr>
        <w:t>四、龙岩市“十四五”有色金属产业发展目标</w:t>
      </w:r>
      <w:r>
        <w:tab/>
      </w:r>
      <w:r>
        <w:fldChar w:fldCharType="begin"/>
      </w:r>
      <w:r>
        <w:instrText xml:space="preserve"> PAGEREF _Toc70684649 \h </w:instrText>
      </w:r>
      <w:r>
        <w:fldChar w:fldCharType="separate"/>
      </w:r>
      <w:r>
        <w:t>35</w:t>
      </w:r>
      <w:r>
        <w:fldChar w:fldCharType="end"/>
      </w:r>
      <w:r>
        <w:fldChar w:fldCharType="end"/>
      </w:r>
    </w:p>
    <w:p>
      <w:pPr>
        <w:pStyle w:val="13"/>
        <w:ind w:left="31680"/>
        <w:rPr>
          <w:rFonts w:ascii="Calibri" w:hAnsi="Calibri" w:cs="Calibri"/>
        </w:rPr>
      </w:pPr>
      <w:r>
        <w:fldChar w:fldCharType="begin"/>
      </w:r>
      <w:r>
        <w:instrText xml:space="preserve">HYPERLINK  \l "_Toc70684650" </w:instrText>
      </w:r>
      <w:r>
        <w:fldChar w:fldCharType="separate"/>
      </w:r>
      <w:r>
        <w:rPr>
          <w:rStyle w:val="17"/>
          <w:rFonts w:hint="eastAsia" w:ascii="仿宋" w:hAnsi="仿宋" w:eastAsia="仿宋" w:cs="仿宋"/>
        </w:rPr>
        <w:t>（一）发展思路</w:t>
      </w:r>
      <w:r>
        <w:tab/>
      </w:r>
      <w:r>
        <w:fldChar w:fldCharType="begin"/>
      </w:r>
      <w:r>
        <w:instrText xml:space="preserve"> PAGEREF _Toc70684650 \h </w:instrText>
      </w:r>
      <w:r>
        <w:fldChar w:fldCharType="separate"/>
      </w:r>
      <w:r>
        <w:t>35</w:t>
      </w:r>
      <w:r>
        <w:fldChar w:fldCharType="end"/>
      </w:r>
      <w:r>
        <w:fldChar w:fldCharType="end"/>
      </w:r>
    </w:p>
    <w:p>
      <w:pPr>
        <w:pStyle w:val="13"/>
        <w:ind w:left="31680"/>
        <w:rPr>
          <w:rFonts w:ascii="Calibri" w:hAnsi="Calibri" w:cs="Calibri"/>
        </w:rPr>
      </w:pPr>
      <w:r>
        <w:fldChar w:fldCharType="begin"/>
      </w:r>
      <w:r>
        <w:instrText xml:space="preserve">HYPERLINK  \l "_Toc70684651" </w:instrText>
      </w:r>
      <w:r>
        <w:fldChar w:fldCharType="separate"/>
      </w:r>
      <w:r>
        <w:rPr>
          <w:rStyle w:val="17"/>
          <w:rFonts w:hint="eastAsia" w:ascii="仿宋" w:hAnsi="仿宋" w:eastAsia="仿宋" w:cs="仿宋"/>
        </w:rPr>
        <w:t>（二）发展目标</w:t>
      </w:r>
      <w:r>
        <w:tab/>
      </w:r>
      <w:r>
        <w:fldChar w:fldCharType="begin"/>
      </w:r>
      <w:r>
        <w:instrText xml:space="preserve"> PAGEREF _Toc70684651 \h </w:instrText>
      </w:r>
      <w:r>
        <w:fldChar w:fldCharType="separate"/>
      </w:r>
      <w:r>
        <w:t>37</w:t>
      </w:r>
      <w:r>
        <w:fldChar w:fldCharType="end"/>
      </w:r>
      <w:r>
        <w:fldChar w:fldCharType="end"/>
      </w:r>
    </w:p>
    <w:p>
      <w:pPr>
        <w:pStyle w:val="13"/>
        <w:ind w:left="31680"/>
        <w:rPr>
          <w:rFonts w:ascii="Calibri" w:hAnsi="Calibri" w:cs="Calibri"/>
        </w:rPr>
      </w:pPr>
      <w:r>
        <w:fldChar w:fldCharType="begin"/>
      </w:r>
      <w:r>
        <w:instrText xml:space="preserve">HYPERLINK  \l "_Toc70684652" </w:instrText>
      </w:r>
      <w:r>
        <w:fldChar w:fldCharType="separate"/>
      </w:r>
      <w:r>
        <w:rPr>
          <w:rStyle w:val="17"/>
          <w:rFonts w:hint="eastAsia" w:ascii="仿宋" w:hAnsi="仿宋" w:eastAsia="仿宋" w:cs="仿宋"/>
        </w:rPr>
        <w:t>（三）空间布局</w:t>
      </w:r>
      <w:r>
        <w:tab/>
      </w:r>
      <w:r>
        <w:fldChar w:fldCharType="begin"/>
      </w:r>
      <w:r>
        <w:instrText xml:space="preserve"> PAGEREF _Toc70684652 \h </w:instrText>
      </w:r>
      <w:r>
        <w:fldChar w:fldCharType="separate"/>
      </w:r>
      <w:r>
        <w:t>38</w:t>
      </w:r>
      <w:r>
        <w:fldChar w:fldCharType="end"/>
      </w:r>
      <w:r>
        <w:fldChar w:fldCharType="end"/>
      </w:r>
    </w:p>
    <w:p>
      <w:pPr>
        <w:pStyle w:val="12"/>
        <w:rPr>
          <w:rFonts w:ascii="Calibri" w:hAnsi="Calibri" w:cs="Calibri"/>
        </w:rPr>
      </w:pPr>
      <w:r>
        <w:fldChar w:fldCharType="begin"/>
      </w:r>
      <w:r>
        <w:instrText xml:space="preserve">HYPERLINK  \l "_Toc70684653" </w:instrText>
      </w:r>
      <w:r>
        <w:fldChar w:fldCharType="separate"/>
      </w:r>
      <w:r>
        <w:rPr>
          <w:rStyle w:val="17"/>
          <w:rFonts w:hint="eastAsia" w:ascii="黑体" w:hAnsi="黑体" w:eastAsia="黑体" w:cs="黑体"/>
        </w:rPr>
        <w:t>五、龙岩市“十四五”有色产业发展重点</w:t>
      </w:r>
      <w:r>
        <w:tab/>
      </w:r>
      <w:r>
        <w:fldChar w:fldCharType="begin"/>
      </w:r>
      <w:r>
        <w:instrText xml:space="preserve"> PAGEREF _Toc70684653 \h </w:instrText>
      </w:r>
      <w:r>
        <w:fldChar w:fldCharType="separate"/>
      </w:r>
      <w:r>
        <w:t>39</w:t>
      </w:r>
      <w:r>
        <w:fldChar w:fldCharType="end"/>
      </w:r>
      <w:r>
        <w:fldChar w:fldCharType="end"/>
      </w:r>
    </w:p>
    <w:p>
      <w:pPr>
        <w:pStyle w:val="13"/>
        <w:ind w:left="31680"/>
        <w:rPr>
          <w:rFonts w:ascii="Calibri" w:hAnsi="Calibri" w:cs="Calibri"/>
        </w:rPr>
      </w:pPr>
      <w:r>
        <w:fldChar w:fldCharType="begin"/>
      </w:r>
      <w:r>
        <w:instrText xml:space="preserve">HYPERLINK  \l "_Toc70684654" </w:instrText>
      </w:r>
      <w:r>
        <w:fldChar w:fldCharType="separate"/>
      </w:r>
      <w:r>
        <w:rPr>
          <w:rStyle w:val="17"/>
          <w:rFonts w:hint="eastAsia" w:ascii="仿宋" w:hAnsi="仿宋" w:eastAsia="仿宋" w:cs="仿宋"/>
        </w:rPr>
        <w:t>（一）铜产业发展重点与建设项目</w:t>
      </w:r>
      <w:r>
        <w:tab/>
      </w:r>
      <w:r>
        <w:fldChar w:fldCharType="begin"/>
      </w:r>
      <w:r>
        <w:instrText xml:space="preserve"> PAGEREF _Toc70684654 \h </w:instrText>
      </w:r>
      <w:r>
        <w:fldChar w:fldCharType="separate"/>
      </w:r>
      <w:r>
        <w:t>39</w:t>
      </w:r>
      <w:r>
        <w:fldChar w:fldCharType="end"/>
      </w:r>
      <w:r>
        <w:fldChar w:fldCharType="end"/>
      </w:r>
    </w:p>
    <w:p>
      <w:pPr>
        <w:pStyle w:val="8"/>
        <w:ind w:left="31680"/>
        <w:rPr>
          <w:rFonts w:ascii="Calibri" w:hAnsi="Calibri" w:cs="Calibri"/>
        </w:rPr>
      </w:pPr>
      <w:r>
        <w:fldChar w:fldCharType="begin"/>
      </w:r>
      <w:r>
        <w:instrText xml:space="preserve">HYPERLINK  \l "_Toc70684655" </w:instrText>
      </w:r>
      <w:r>
        <w:fldChar w:fldCharType="separate"/>
      </w:r>
      <w:r>
        <w:rPr>
          <w:rStyle w:val="17"/>
          <w:rFonts w:ascii="仿宋" w:hAnsi="仿宋" w:eastAsia="仿宋" w:cs="仿宋"/>
        </w:rPr>
        <w:t>1.</w:t>
      </w:r>
      <w:r>
        <w:rPr>
          <w:rStyle w:val="17"/>
          <w:rFonts w:hint="eastAsia" w:ascii="仿宋" w:hAnsi="仿宋" w:eastAsia="仿宋" w:cs="仿宋"/>
        </w:rPr>
        <w:t>加快产业结构调整和优化升级</w:t>
      </w:r>
      <w:r>
        <w:tab/>
      </w:r>
      <w:r>
        <w:fldChar w:fldCharType="begin"/>
      </w:r>
      <w:r>
        <w:instrText xml:space="preserve"> PAGEREF _Toc70684655 \h </w:instrText>
      </w:r>
      <w:r>
        <w:fldChar w:fldCharType="separate"/>
      </w:r>
      <w:r>
        <w:t>39</w:t>
      </w:r>
      <w:r>
        <w:fldChar w:fldCharType="end"/>
      </w:r>
      <w:r>
        <w:fldChar w:fldCharType="end"/>
      </w:r>
    </w:p>
    <w:p>
      <w:pPr>
        <w:pStyle w:val="8"/>
        <w:ind w:left="31680"/>
        <w:rPr>
          <w:rFonts w:ascii="Calibri" w:hAnsi="Calibri" w:cs="Calibri"/>
        </w:rPr>
      </w:pPr>
      <w:r>
        <w:fldChar w:fldCharType="begin"/>
      </w:r>
      <w:r>
        <w:instrText xml:space="preserve">HYPERLINK  \l "_Toc70684656" </w:instrText>
      </w:r>
      <w:r>
        <w:fldChar w:fldCharType="separate"/>
      </w:r>
      <w:r>
        <w:rPr>
          <w:rStyle w:val="17"/>
          <w:rFonts w:ascii="仿宋" w:hAnsi="仿宋" w:eastAsia="仿宋" w:cs="仿宋"/>
        </w:rPr>
        <w:t>2.</w:t>
      </w:r>
      <w:r>
        <w:rPr>
          <w:rStyle w:val="17"/>
          <w:rFonts w:hint="eastAsia" w:ascii="仿宋" w:hAnsi="仿宋" w:eastAsia="仿宋" w:cs="仿宋"/>
        </w:rPr>
        <w:t>重点发展的产业领域和产品种类</w:t>
      </w:r>
      <w:r>
        <w:tab/>
      </w:r>
      <w:r>
        <w:fldChar w:fldCharType="begin"/>
      </w:r>
      <w:r>
        <w:instrText xml:space="preserve"> PAGEREF _Toc70684656 \h </w:instrText>
      </w:r>
      <w:r>
        <w:fldChar w:fldCharType="separate"/>
      </w:r>
      <w:r>
        <w:t>40</w:t>
      </w:r>
      <w:r>
        <w:fldChar w:fldCharType="end"/>
      </w:r>
      <w:r>
        <w:fldChar w:fldCharType="end"/>
      </w:r>
    </w:p>
    <w:p>
      <w:pPr>
        <w:pStyle w:val="8"/>
        <w:ind w:left="31680"/>
        <w:rPr>
          <w:rFonts w:ascii="Calibri" w:hAnsi="Calibri" w:cs="Calibri"/>
        </w:rPr>
      </w:pPr>
      <w:r>
        <w:fldChar w:fldCharType="begin"/>
      </w:r>
      <w:r>
        <w:instrText xml:space="preserve">HYPERLINK  \l "_Toc70684657" </w:instrText>
      </w:r>
      <w:r>
        <w:fldChar w:fldCharType="separate"/>
      </w:r>
      <w:r>
        <w:rPr>
          <w:rStyle w:val="17"/>
          <w:rFonts w:ascii="仿宋" w:hAnsi="仿宋" w:eastAsia="仿宋" w:cs="仿宋"/>
        </w:rPr>
        <w:t>3.</w:t>
      </w:r>
      <w:r>
        <w:rPr>
          <w:rStyle w:val="17"/>
          <w:rFonts w:hint="eastAsia" w:ascii="仿宋" w:hAnsi="仿宋" w:eastAsia="仿宋" w:cs="仿宋"/>
        </w:rPr>
        <w:t>重点项目</w:t>
      </w:r>
      <w:r>
        <w:tab/>
      </w:r>
      <w:r>
        <w:fldChar w:fldCharType="begin"/>
      </w:r>
      <w:r>
        <w:instrText xml:space="preserve"> PAGEREF _Toc70684657 \h </w:instrText>
      </w:r>
      <w:r>
        <w:fldChar w:fldCharType="separate"/>
      </w:r>
      <w:r>
        <w:t>46</w:t>
      </w:r>
      <w:r>
        <w:fldChar w:fldCharType="end"/>
      </w:r>
      <w:r>
        <w:fldChar w:fldCharType="end"/>
      </w:r>
    </w:p>
    <w:p>
      <w:pPr>
        <w:pStyle w:val="13"/>
        <w:ind w:left="31680"/>
        <w:rPr>
          <w:rFonts w:ascii="Calibri" w:hAnsi="Calibri" w:cs="Calibri"/>
        </w:rPr>
      </w:pPr>
      <w:r>
        <w:fldChar w:fldCharType="begin"/>
      </w:r>
      <w:r>
        <w:instrText xml:space="preserve">HYPERLINK  \l "_Toc70684658" </w:instrText>
      </w:r>
      <w:r>
        <w:fldChar w:fldCharType="separate"/>
      </w:r>
      <w:r>
        <w:rPr>
          <w:rStyle w:val="17"/>
          <w:rFonts w:hint="eastAsia" w:ascii="仿宋" w:hAnsi="仿宋" w:eastAsia="仿宋" w:cs="仿宋"/>
        </w:rPr>
        <w:t>（二）金银等稀贵金属产业发展重点与建设项目</w:t>
      </w:r>
      <w:r>
        <w:tab/>
      </w:r>
      <w:r>
        <w:fldChar w:fldCharType="begin"/>
      </w:r>
      <w:r>
        <w:instrText xml:space="preserve"> PAGEREF _Toc70684658 \h </w:instrText>
      </w:r>
      <w:r>
        <w:fldChar w:fldCharType="separate"/>
      </w:r>
      <w:r>
        <w:t>48</w:t>
      </w:r>
      <w:r>
        <w:fldChar w:fldCharType="end"/>
      </w:r>
      <w:r>
        <w:fldChar w:fldCharType="end"/>
      </w:r>
    </w:p>
    <w:p>
      <w:pPr>
        <w:pStyle w:val="8"/>
        <w:ind w:left="31680"/>
        <w:rPr>
          <w:rFonts w:ascii="Calibri" w:hAnsi="Calibri" w:cs="Calibri"/>
        </w:rPr>
      </w:pPr>
      <w:r>
        <w:fldChar w:fldCharType="begin"/>
      </w:r>
      <w:r>
        <w:instrText xml:space="preserve">HYPERLINK  \l "_Toc70684659" </w:instrText>
      </w:r>
      <w:r>
        <w:fldChar w:fldCharType="separate"/>
      </w:r>
      <w:r>
        <w:rPr>
          <w:rStyle w:val="17"/>
          <w:rFonts w:ascii="仿宋" w:hAnsi="仿宋" w:eastAsia="仿宋" w:cs="仿宋"/>
        </w:rPr>
        <w:t>1.</w:t>
      </w:r>
      <w:r>
        <w:rPr>
          <w:rStyle w:val="17"/>
          <w:rFonts w:hint="eastAsia" w:ascii="仿宋" w:hAnsi="仿宋" w:eastAsia="仿宋" w:cs="仿宋"/>
        </w:rPr>
        <w:t>黄金</w:t>
      </w:r>
      <w:r>
        <w:tab/>
      </w:r>
      <w:r>
        <w:fldChar w:fldCharType="begin"/>
      </w:r>
      <w:r>
        <w:instrText xml:space="preserve"> PAGEREF _Toc70684659 \h </w:instrText>
      </w:r>
      <w:r>
        <w:fldChar w:fldCharType="separate"/>
      </w:r>
      <w:r>
        <w:t>48</w:t>
      </w:r>
      <w:r>
        <w:fldChar w:fldCharType="end"/>
      </w:r>
      <w:r>
        <w:fldChar w:fldCharType="end"/>
      </w:r>
    </w:p>
    <w:p>
      <w:pPr>
        <w:pStyle w:val="8"/>
        <w:ind w:left="31680"/>
        <w:rPr>
          <w:rFonts w:ascii="Calibri" w:hAnsi="Calibri" w:cs="Calibri"/>
        </w:rPr>
      </w:pPr>
      <w:r>
        <w:fldChar w:fldCharType="begin"/>
      </w:r>
      <w:r>
        <w:instrText xml:space="preserve">HYPERLINK  \l "_Toc70684660" </w:instrText>
      </w:r>
      <w:r>
        <w:fldChar w:fldCharType="separate"/>
      </w:r>
      <w:r>
        <w:rPr>
          <w:rStyle w:val="17"/>
          <w:rFonts w:ascii="仿宋" w:hAnsi="仿宋" w:eastAsia="仿宋" w:cs="仿宋"/>
        </w:rPr>
        <w:t>2.</w:t>
      </w:r>
      <w:r>
        <w:rPr>
          <w:rStyle w:val="17"/>
          <w:rFonts w:hint="eastAsia" w:ascii="仿宋" w:hAnsi="仿宋" w:eastAsia="仿宋" w:cs="仿宋"/>
        </w:rPr>
        <w:t>白银</w:t>
      </w:r>
      <w:r>
        <w:tab/>
      </w:r>
      <w:r>
        <w:fldChar w:fldCharType="begin"/>
      </w:r>
      <w:r>
        <w:instrText xml:space="preserve"> PAGEREF _Toc70684660 \h </w:instrText>
      </w:r>
      <w:r>
        <w:fldChar w:fldCharType="separate"/>
      </w:r>
      <w:r>
        <w:t>50</w:t>
      </w:r>
      <w:r>
        <w:fldChar w:fldCharType="end"/>
      </w:r>
      <w:r>
        <w:fldChar w:fldCharType="end"/>
      </w:r>
    </w:p>
    <w:p>
      <w:pPr>
        <w:pStyle w:val="8"/>
        <w:ind w:left="31680"/>
        <w:rPr>
          <w:rFonts w:ascii="Calibri" w:hAnsi="Calibri" w:cs="Calibri"/>
        </w:rPr>
      </w:pPr>
      <w:r>
        <w:fldChar w:fldCharType="begin"/>
      </w:r>
      <w:r>
        <w:instrText xml:space="preserve">HYPERLINK  \l "_Toc70684661" </w:instrText>
      </w:r>
      <w:r>
        <w:fldChar w:fldCharType="separate"/>
      </w:r>
      <w:r>
        <w:rPr>
          <w:rStyle w:val="17"/>
          <w:rFonts w:ascii="仿宋" w:hAnsi="仿宋" w:eastAsia="仿宋" w:cs="仿宋"/>
        </w:rPr>
        <w:t>3.</w:t>
      </w:r>
      <w:r>
        <w:rPr>
          <w:rStyle w:val="17"/>
          <w:rFonts w:hint="eastAsia" w:ascii="仿宋" w:hAnsi="仿宋" w:eastAsia="仿宋" w:cs="仿宋"/>
        </w:rPr>
        <w:t>铂钯</w:t>
      </w:r>
      <w:r>
        <w:tab/>
      </w:r>
      <w:r>
        <w:fldChar w:fldCharType="begin"/>
      </w:r>
      <w:r>
        <w:instrText xml:space="preserve"> PAGEREF _Toc70684661 \h </w:instrText>
      </w:r>
      <w:r>
        <w:fldChar w:fldCharType="separate"/>
      </w:r>
      <w:r>
        <w:t>57</w:t>
      </w:r>
      <w:r>
        <w:fldChar w:fldCharType="end"/>
      </w:r>
      <w:r>
        <w:fldChar w:fldCharType="end"/>
      </w:r>
    </w:p>
    <w:p>
      <w:pPr>
        <w:pStyle w:val="13"/>
        <w:ind w:left="31680"/>
        <w:rPr>
          <w:rFonts w:ascii="Calibri" w:hAnsi="Calibri" w:cs="Calibri"/>
        </w:rPr>
      </w:pPr>
      <w:r>
        <w:fldChar w:fldCharType="begin"/>
      </w:r>
      <w:r>
        <w:instrText xml:space="preserve">HYPERLINK  \l "_Toc70684662" </w:instrText>
      </w:r>
      <w:r>
        <w:fldChar w:fldCharType="separate"/>
      </w:r>
      <w:r>
        <w:rPr>
          <w:rStyle w:val="17"/>
          <w:rFonts w:hint="eastAsia" w:ascii="仿宋" w:hAnsi="仿宋" w:eastAsia="仿宋" w:cs="仿宋"/>
        </w:rPr>
        <w:t>（三）稀土产业发展重点与建设项目</w:t>
      </w:r>
      <w:r>
        <w:tab/>
      </w:r>
      <w:r>
        <w:fldChar w:fldCharType="begin"/>
      </w:r>
      <w:r>
        <w:instrText xml:space="preserve"> PAGEREF _Toc70684662 \h </w:instrText>
      </w:r>
      <w:r>
        <w:fldChar w:fldCharType="separate"/>
      </w:r>
      <w:r>
        <w:t>57</w:t>
      </w:r>
      <w:r>
        <w:fldChar w:fldCharType="end"/>
      </w:r>
      <w:r>
        <w:fldChar w:fldCharType="end"/>
      </w:r>
    </w:p>
    <w:p>
      <w:pPr>
        <w:pStyle w:val="8"/>
        <w:ind w:left="31680"/>
        <w:rPr>
          <w:rFonts w:ascii="Calibri" w:hAnsi="Calibri" w:cs="Calibri"/>
        </w:rPr>
      </w:pPr>
      <w:r>
        <w:fldChar w:fldCharType="begin"/>
      </w:r>
      <w:r>
        <w:instrText xml:space="preserve">HYPERLINK  \l "_Toc70684663" </w:instrText>
      </w:r>
      <w:r>
        <w:fldChar w:fldCharType="separate"/>
      </w:r>
      <w:r>
        <w:rPr>
          <w:rStyle w:val="17"/>
          <w:rFonts w:ascii="仿宋" w:hAnsi="仿宋" w:eastAsia="仿宋" w:cs="仿宋"/>
        </w:rPr>
        <w:t>1.</w:t>
      </w:r>
      <w:r>
        <w:rPr>
          <w:rStyle w:val="17"/>
          <w:rFonts w:hint="eastAsia" w:ascii="仿宋" w:hAnsi="仿宋" w:eastAsia="仿宋" w:cs="仿宋"/>
        </w:rPr>
        <w:t>稀土产业重点发展领域</w:t>
      </w:r>
      <w:r>
        <w:tab/>
      </w:r>
      <w:r>
        <w:fldChar w:fldCharType="begin"/>
      </w:r>
      <w:r>
        <w:instrText xml:space="preserve"> PAGEREF _Toc70684663 \h </w:instrText>
      </w:r>
      <w:r>
        <w:fldChar w:fldCharType="separate"/>
      </w:r>
      <w:r>
        <w:t>57</w:t>
      </w:r>
      <w:r>
        <w:fldChar w:fldCharType="end"/>
      </w:r>
      <w:r>
        <w:fldChar w:fldCharType="end"/>
      </w:r>
    </w:p>
    <w:p>
      <w:pPr>
        <w:pStyle w:val="8"/>
        <w:ind w:left="31680"/>
        <w:rPr>
          <w:rFonts w:ascii="Calibri" w:hAnsi="Calibri" w:cs="Calibri"/>
        </w:rPr>
      </w:pPr>
      <w:r>
        <w:fldChar w:fldCharType="begin"/>
      </w:r>
      <w:r>
        <w:instrText xml:space="preserve">HYPERLINK  \l "_Toc70684664" </w:instrText>
      </w:r>
      <w:r>
        <w:fldChar w:fldCharType="separate"/>
      </w:r>
      <w:r>
        <w:rPr>
          <w:rStyle w:val="17"/>
          <w:rFonts w:ascii="仿宋" w:hAnsi="仿宋" w:eastAsia="仿宋" w:cs="仿宋"/>
        </w:rPr>
        <w:t>2.</w:t>
      </w:r>
      <w:r>
        <w:rPr>
          <w:rStyle w:val="17"/>
          <w:rFonts w:hint="eastAsia" w:ascii="仿宋" w:hAnsi="仿宋" w:eastAsia="仿宋" w:cs="仿宋"/>
        </w:rPr>
        <w:t>稀土产业链重点建设项目</w:t>
      </w:r>
      <w:r>
        <w:tab/>
      </w:r>
      <w:r>
        <w:fldChar w:fldCharType="begin"/>
      </w:r>
      <w:r>
        <w:instrText xml:space="preserve"> PAGEREF _Toc70684664 \h </w:instrText>
      </w:r>
      <w:r>
        <w:fldChar w:fldCharType="separate"/>
      </w:r>
      <w:r>
        <w:t>59</w:t>
      </w:r>
      <w:r>
        <w:fldChar w:fldCharType="end"/>
      </w:r>
      <w:r>
        <w:fldChar w:fldCharType="end"/>
      </w:r>
    </w:p>
    <w:p>
      <w:pPr>
        <w:pStyle w:val="13"/>
        <w:ind w:left="31680"/>
        <w:rPr>
          <w:rFonts w:ascii="Calibri" w:hAnsi="Calibri" w:cs="Calibri"/>
        </w:rPr>
      </w:pPr>
      <w:r>
        <w:fldChar w:fldCharType="begin"/>
      </w:r>
      <w:r>
        <w:instrText xml:space="preserve">HYPERLINK  \l "_Toc70684665" </w:instrText>
      </w:r>
      <w:r>
        <w:fldChar w:fldCharType="separate"/>
      </w:r>
      <w:r>
        <w:rPr>
          <w:rStyle w:val="17"/>
          <w:rFonts w:hint="eastAsia" w:ascii="仿宋" w:hAnsi="仿宋" w:eastAsia="仿宋" w:cs="仿宋"/>
        </w:rPr>
        <w:t>（四）钨产业发展重点与建设项目</w:t>
      </w:r>
      <w:r>
        <w:tab/>
      </w:r>
      <w:r>
        <w:fldChar w:fldCharType="begin"/>
      </w:r>
      <w:r>
        <w:instrText xml:space="preserve"> PAGEREF _Toc70684665 \h </w:instrText>
      </w:r>
      <w:r>
        <w:fldChar w:fldCharType="separate"/>
      </w:r>
      <w:r>
        <w:t>61</w:t>
      </w:r>
      <w:r>
        <w:fldChar w:fldCharType="end"/>
      </w:r>
      <w:r>
        <w:fldChar w:fldCharType="end"/>
      </w:r>
    </w:p>
    <w:p>
      <w:pPr>
        <w:pStyle w:val="12"/>
        <w:rPr>
          <w:rFonts w:ascii="Calibri" w:hAnsi="Calibri" w:cs="Calibri"/>
        </w:rPr>
      </w:pPr>
      <w:r>
        <w:fldChar w:fldCharType="begin"/>
      </w:r>
      <w:r>
        <w:instrText xml:space="preserve">HYPERLINK  \l "_Toc70684666" </w:instrText>
      </w:r>
      <w:r>
        <w:fldChar w:fldCharType="separate"/>
      </w:r>
      <w:r>
        <w:rPr>
          <w:rStyle w:val="17"/>
          <w:rFonts w:hint="eastAsia" w:ascii="黑体" w:hAnsi="黑体" w:eastAsia="黑体" w:cs="黑体"/>
        </w:rPr>
        <w:t>六、保障措施建议</w:t>
      </w:r>
      <w:r>
        <w:tab/>
      </w:r>
      <w:r>
        <w:fldChar w:fldCharType="begin"/>
      </w:r>
      <w:r>
        <w:instrText xml:space="preserve"> PAGEREF _Toc70684666 \h </w:instrText>
      </w:r>
      <w:r>
        <w:fldChar w:fldCharType="separate"/>
      </w:r>
      <w:r>
        <w:t>62</w:t>
      </w:r>
      <w:r>
        <w:fldChar w:fldCharType="end"/>
      </w:r>
      <w:r>
        <w:fldChar w:fldCharType="end"/>
      </w:r>
    </w:p>
    <w:p>
      <w:pPr>
        <w:pStyle w:val="13"/>
        <w:ind w:left="31680"/>
        <w:rPr>
          <w:rFonts w:ascii="Calibri" w:hAnsi="Calibri" w:cs="Calibri"/>
        </w:rPr>
      </w:pPr>
      <w:r>
        <w:fldChar w:fldCharType="begin"/>
      </w:r>
      <w:r>
        <w:instrText xml:space="preserve">HYPERLINK  \l "_Toc70684667" </w:instrText>
      </w:r>
      <w:r>
        <w:fldChar w:fldCharType="separate"/>
      </w:r>
      <w:r>
        <w:rPr>
          <w:rStyle w:val="17"/>
          <w:rFonts w:hint="eastAsia" w:ascii="仿宋" w:hAnsi="仿宋" w:eastAsia="仿宋" w:cs="仿宋"/>
        </w:rPr>
        <w:t>（一）政策保障</w:t>
      </w:r>
      <w:r>
        <w:tab/>
      </w:r>
      <w:r>
        <w:fldChar w:fldCharType="begin"/>
      </w:r>
      <w:r>
        <w:instrText xml:space="preserve"> PAGEREF _Toc70684667 \h </w:instrText>
      </w:r>
      <w:r>
        <w:fldChar w:fldCharType="separate"/>
      </w:r>
      <w:r>
        <w:t>62</w:t>
      </w:r>
      <w:r>
        <w:fldChar w:fldCharType="end"/>
      </w:r>
      <w:r>
        <w:fldChar w:fldCharType="end"/>
      </w:r>
    </w:p>
    <w:p>
      <w:pPr>
        <w:pStyle w:val="13"/>
        <w:ind w:left="31680"/>
        <w:rPr>
          <w:rFonts w:ascii="Calibri" w:hAnsi="Calibri" w:cs="Calibri"/>
        </w:rPr>
      </w:pPr>
      <w:r>
        <w:fldChar w:fldCharType="begin"/>
      </w:r>
      <w:r>
        <w:instrText xml:space="preserve">HYPERLINK  \l "_Toc70684668" </w:instrText>
      </w:r>
      <w:r>
        <w:fldChar w:fldCharType="separate"/>
      </w:r>
      <w:r>
        <w:rPr>
          <w:rStyle w:val="17"/>
          <w:rFonts w:hint="eastAsia" w:ascii="仿宋" w:hAnsi="仿宋" w:eastAsia="仿宋" w:cs="仿宋"/>
        </w:rPr>
        <w:t>（二）金融保障</w:t>
      </w:r>
      <w:r>
        <w:tab/>
      </w:r>
      <w:r>
        <w:fldChar w:fldCharType="begin"/>
      </w:r>
      <w:r>
        <w:instrText xml:space="preserve"> PAGEREF _Toc70684668 \h </w:instrText>
      </w:r>
      <w:r>
        <w:fldChar w:fldCharType="separate"/>
      </w:r>
      <w:r>
        <w:t>63</w:t>
      </w:r>
      <w:r>
        <w:fldChar w:fldCharType="end"/>
      </w:r>
      <w:r>
        <w:fldChar w:fldCharType="end"/>
      </w:r>
    </w:p>
    <w:p>
      <w:pPr>
        <w:pStyle w:val="13"/>
        <w:ind w:left="31680"/>
        <w:rPr>
          <w:rFonts w:ascii="Calibri" w:hAnsi="Calibri" w:cs="Calibri"/>
        </w:rPr>
      </w:pPr>
      <w:r>
        <w:fldChar w:fldCharType="begin"/>
      </w:r>
      <w:r>
        <w:instrText xml:space="preserve">HYPERLINK  \l "_Toc70684669" </w:instrText>
      </w:r>
      <w:r>
        <w:fldChar w:fldCharType="separate"/>
      </w:r>
      <w:r>
        <w:rPr>
          <w:rStyle w:val="17"/>
          <w:rFonts w:hint="eastAsia" w:ascii="仿宋" w:hAnsi="仿宋" w:eastAsia="仿宋" w:cs="仿宋"/>
        </w:rPr>
        <w:t>（三）招商保障</w:t>
      </w:r>
      <w:r>
        <w:tab/>
      </w:r>
      <w:r>
        <w:fldChar w:fldCharType="begin"/>
      </w:r>
      <w:r>
        <w:instrText xml:space="preserve"> PAGEREF _Toc70684669 \h </w:instrText>
      </w:r>
      <w:r>
        <w:fldChar w:fldCharType="separate"/>
      </w:r>
      <w:r>
        <w:t>63</w:t>
      </w:r>
      <w:r>
        <w:fldChar w:fldCharType="end"/>
      </w:r>
      <w:r>
        <w:fldChar w:fldCharType="end"/>
      </w:r>
    </w:p>
    <w:p>
      <w:pPr>
        <w:pStyle w:val="13"/>
        <w:ind w:left="31680"/>
        <w:rPr>
          <w:rFonts w:ascii="Calibri" w:hAnsi="Calibri" w:cs="Calibri"/>
        </w:rPr>
      </w:pPr>
      <w:r>
        <w:fldChar w:fldCharType="begin"/>
      </w:r>
      <w:r>
        <w:instrText xml:space="preserve">HYPERLINK  \l "_Toc70684670" </w:instrText>
      </w:r>
      <w:r>
        <w:fldChar w:fldCharType="separate"/>
      </w:r>
      <w:r>
        <w:rPr>
          <w:rStyle w:val="17"/>
          <w:rFonts w:hint="eastAsia" w:ascii="仿宋" w:hAnsi="仿宋" w:eastAsia="仿宋" w:cs="仿宋"/>
        </w:rPr>
        <w:t>（四）创新保障</w:t>
      </w:r>
      <w:r>
        <w:tab/>
      </w:r>
      <w:r>
        <w:fldChar w:fldCharType="begin"/>
      </w:r>
      <w:r>
        <w:instrText xml:space="preserve"> PAGEREF _Toc70684670 \h </w:instrText>
      </w:r>
      <w:r>
        <w:fldChar w:fldCharType="separate"/>
      </w:r>
      <w:r>
        <w:t>64</w:t>
      </w:r>
      <w:r>
        <w:fldChar w:fldCharType="end"/>
      </w:r>
      <w:r>
        <w:fldChar w:fldCharType="end"/>
      </w:r>
    </w:p>
    <w:p>
      <w:pPr>
        <w:pStyle w:val="13"/>
        <w:ind w:left="31680"/>
        <w:rPr>
          <w:rFonts w:ascii="Calibri" w:hAnsi="Calibri" w:cs="Calibri"/>
        </w:rPr>
      </w:pPr>
      <w:r>
        <w:fldChar w:fldCharType="begin"/>
      </w:r>
      <w:r>
        <w:instrText xml:space="preserve">HYPERLINK  \l "_Toc70684671" </w:instrText>
      </w:r>
      <w:r>
        <w:fldChar w:fldCharType="separate"/>
      </w:r>
      <w:r>
        <w:rPr>
          <w:rStyle w:val="17"/>
          <w:rFonts w:hint="eastAsia" w:ascii="仿宋" w:hAnsi="仿宋" w:eastAsia="仿宋" w:cs="仿宋"/>
        </w:rPr>
        <w:t>（五）产业配套保障</w:t>
      </w:r>
      <w:r>
        <w:tab/>
      </w:r>
      <w:r>
        <w:fldChar w:fldCharType="begin"/>
      </w:r>
      <w:r>
        <w:instrText xml:space="preserve"> PAGEREF _Toc70684671 \h </w:instrText>
      </w:r>
      <w:r>
        <w:fldChar w:fldCharType="separate"/>
      </w:r>
      <w:r>
        <w:t>65</w:t>
      </w:r>
      <w:r>
        <w:fldChar w:fldCharType="end"/>
      </w:r>
      <w:r>
        <w:fldChar w:fldCharType="end"/>
      </w:r>
    </w:p>
    <w:p>
      <w:pPr>
        <w:pStyle w:val="12"/>
        <w:rPr>
          <w:rFonts w:ascii="Calibri" w:hAnsi="Calibri" w:cs="Calibri"/>
        </w:rPr>
      </w:pPr>
      <w:r>
        <w:fldChar w:fldCharType="begin"/>
      </w:r>
      <w:r>
        <w:instrText xml:space="preserve">HYPERLINK  \l "_Toc70684672" </w:instrText>
      </w:r>
      <w:r>
        <w:fldChar w:fldCharType="separate"/>
      </w:r>
      <w:r>
        <w:rPr>
          <w:rStyle w:val="17"/>
          <w:rFonts w:hint="eastAsia" w:ascii="黑体" w:hAnsi="黑体" w:eastAsia="黑体" w:cs="黑体"/>
        </w:rPr>
        <w:t>附件一、“十四五”重点规划项目表</w:t>
      </w:r>
      <w:r>
        <w:tab/>
      </w:r>
      <w:r>
        <w:fldChar w:fldCharType="begin"/>
      </w:r>
      <w:r>
        <w:instrText xml:space="preserve"> PAGEREF _Toc70684672 \h </w:instrText>
      </w:r>
      <w:r>
        <w:fldChar w:fldCharType="separate"/>
      </w:r>
      <w:r>
        <w:t>66</w:t>
      </w:r>
      <w:r>
        <w:fldChar w:fldCharType="end"/>
      </w:r>
      <w:r>
        <w:fldChar w:fldCharType="end"/>
      </w:r>
    </w:p>
    <w:p>
      <w:pPr>
        <w:pStyle w:val="12"/>
        <w:rPr>
          <w:rFonts w:ascii="Calibri" w:hAnsi="Calibri" w:cs="Calibri"/>
        </w:rPr>
      </w:pPr>
      <w:r>
        <w:fldChar w:fldCharType="begin"/>
      </w:r>
      <w:r>
        <w:instrText xml:space="preserve">HYPERLINK  \l "_Toc70684673" </w:instrText>
      </w:r>
      <w:r>
        <w:fldChar w:fldCharType="separate"/>
      </w:r>
      <w:r>
        <w:rPr>
          <w:rStyle w:val="17"/>
          <w:rFonts w:hint="eastAsia" w:ascii="黑体" w:hAnsi="黑体" w:eastAsia="黑体" w:cs="黑体"/>
        </w:rPr>
        <w:t>附件二、专家评审意见</w:t>
      </w:r>
      <w:r>
        <w:tab/>
      </w:r>
      <w:r>
        <w:fldChar w:fldCharType="begin"/>
      </w:r>
      <w:r>
        <w:instrText xml:space="preserve"> PAGEREF _Toc70684673 \h </w:instrText>
      </w:r>
      <w:r>
        <w:fldChar w:fldCharType="separate"/>
      </w:r>
      <w:r>
        <w:t>80</w:t>
      </w:r>
      <w:r>
        <w:fldChar w:fldCharType="end"/>
      </w:r>
      <w:r>
        <w:fldChar w:fldCharType="end"/>
      </w:r>
    </w:p>
    <w:p>
      <w:pPr>
        <w:rPr>
          <w:rFonts w:cs="Times New Roman"/>
        </w:rPr>
      </w:pPr>
      <w:r>
        <w:rPr>
          <w:b/>
          <w:bCs/>
          <w:lang w:val="zh-CN"/>
        </w:rPr>
        <w:fldChar w:fldCharType="end"/>
      </w:r>
    </w:p>
    <w:p>
      <w:pPr>
        <w:spacing w:line="360" w:lineRule="auto"/>
        <w:ind w:firstLine="31680" w:firstLineChars="200"/>
        <w:rPr>
          <w:rFonts w:ascii="宋体" w:cs="Times New Roman"/>
          <w:sz w:val="24"/>
          <w:szCs w:val="24"/>
        </w:rPr>
        <w:sectPr>
          <w:pgSz w:w="11906" w:h="16838"/>
          <w:pgMar w:top="1440" w:right="1800" w:bottom="1440" w:left="1800" w:header="851" w:footer="992" w:gutter="0"/>
          <w:cols w:space="425" w:num="1"/>
          <w:docGrid w:type="lines" w:linePitch="312"/>
        </w:sectPr>
      </w:pPr>
    </w:p>
    <w:p>
      <w:pPr>
        <w:spacing w:line="360" w:lineRule="auto"/>
        <w:ind w:firstLine="31680" w:firstLineChars="200"/>
        <w:rPr>
          <w:rFonts w:ascii="宋体" w:cs="Times New Roman"/>
          <w:sz w:val="24"/>
          <w:szCs w:val="24"/>
        </w:rPr>
      </w:pPr>
    </w:p>
    <w:p>
      <w:pPr>
        <w:pStyle w:val="2"/>
        <w:spacing w:before="120" w:after="120" w:line="240" w:lineRule="auto"/>
        <w:rPr>
          <w:rFonts w:ascii="黑体" w:hAnsi="黑体" w:eastAsia="黑体" w:cs="Times New Roman"/>
          <w:b w:val="0"/>
          <w:bCs w:val="0"/>
          <w:sz w:val="28"/>
          <w:szCs w:val="28"/>
        </w:rPr>
      </w:pPr>
      <w:bookmarkStart w:id="0" w:name="_Toc70684617"/>
      <w:r>
        <w:rPr>
          <w:rFonts w:hint="eastAsia" w:ascii="黑体" w:hAnsi="黑体" w:eastAsia="黑体" w:cs="黑体"/>
          <w:b w:val="0"/>
          <w:bCs w:val="0"/>
          <w:sz w:val="28"/>
          <w:szCs w:val="28"/>
        </w:rPr>
        <w:t>一、前言</w:t>
      </w:r>
      <w:bookmarkEnd w:id="0"/>
    </w:p>
    <w:p>
      <w:pPr>
        <w:spacing w:line="560" w:lineRule="exact"/>
        <w:ind w:firstLine="31680" w:firstLineChars="200"/>
        <w:rPr>
          <w:rFonts w:ascii="仿宋" w:hAnsi="仿宋" w:eastAsia="仿宋" w:cs="Times New Roman"/>
          <w:sz w:val="28"/>
          <w:szCs w:val="28"/>
        </w:rPr>
      </w:pPr>
      <w:r>
        <w:rPr>
          <w:rFonts w:hint="eastAsia" w:ascii="仿宋" w:hAnsi="仿宋" w:eastAsia="仿宋" w:cs="仿宋"/>
          <w:sz w:val="28"/>
          <w:szCs w:val="28"/>
        </w:rPr>
        <w:t>有色金属广泛应用于各行各业，是国民经济发展的重要基础原材料，是战略新兴产业、国防军工等领域的重要支撑材料。二十一世纪以来，随着我国工业化和城镇化的快速推进，对有色金属的需求迅猛增长，推动我国成为全球最大的有色金属生产国和消费国，铜、铝、铅、锌等基本金属的产量和消费量均高居全球首位，全球占比接近甚至超过</w:t>
      </w:r>
      <w:r>
        <w:rPr>
          <w:rFonts w:ascii="仿宋" w:hAnsi="仿宋" w:eastAsia="仿宋" w:cs="仿宋"/>
          <w:sz w:val="28"/>
          <w:szCs w:val="28"/>
        </w:rPr>
        <w:t>50%</w:t>
      </w:r>
      <w:r>
        <w:rPr>
          <w:rFonts w:hint="eastAsia" w:ascii="仿宋" w:hAnsi="仿宋" w:eastAsia="仿宋" w:cs="仿宋"/>
          <w:sz w:val="28"/>
          <w:szCs w:val="28"/>
        </w:rPr>
        <w:t>。</w:t>
      </w:r>
    </w:p>
    <w:p>
      <w:pPr>
        <w:spacing w:line="560" w:lineRule="exact"/>
        <w:ind w:firstLine="31680" w:firstLineChars="200"/>
        <w:rPr>
          <w:rFonts w:ascii="仿宋" w:hAnsi="仿宋" w:eastAsia="仿宋" w:cs="Times New Roman"/>
          <w:sz w:val="28"/>
          <w:szCs w:val="28"/>
        </w:rPr>
      </w:pPr>
      <w:r>
        <w:rPr>
          <w:rFonts w:hint="eastAsia" w:ascii="仿宋" w:hAnsi="仿宋" w:eastAsia="仿宋" w:cs="仿宋"/>
          <w:sz w:val="28"/>
          <w:szCs w:val="28"/>
        </w:rPr>
        <w:t>随着我国工业化进入后期阶段，对工业原材料的需求增速大幅放缓，自</w:t>
      </w:r>
      <w:r>
        <w:rPr>
          <w:rFonts w:ascii="仿宋" w:hAnsi="仿宋" w:eastAsia="仿宋" w:cs="仿宋"/>
          <w:sz w:val="28"/>
          <w:szCs w:val="28"/>
        </w:rPr>
        <w:t>2011</w:t>
      </w:r>
      <w:r>
        <w:rPr>
          <w:rFonts w:hint="eastAsia" w:ascii="仿宋" w:hAnsi="仿宋" w:eastAsia="仿宋" w:cs="仿宋"/>
          <w:sz w:val="28"/>
          <w:szCs w:val="28"/>
        </w:rPr>
        <w:t>年开始，我国铜等大宗有色金属的消费增速降至个位数，近年来更是降至</w:t>
      </w:r>
      <w:r>
        <w:rPr>
          <w:rFonts w:ascii="仿宋" w:hAnsi="仿宋" w:eastAsia="仿宋" w:cs="仿宋"/>
          <w:sz w:val="28"/>
          <w:szCs w:val="28"/>
        </w:rPr>
        <w:t>5%</w:t>
      </w:r>
      <w:r>
        <w:rPr>
          <w:rFonts w:hint="eastAsia" w:ascii="仿宋" w:hAnsi="仿宋" w:eastAsia="仿宋" w:cs="仿宋"/>
          <w:sz w:val="28"/>
          <w:szCs w:val="28"/>
        </w:rPr>
        <w:t>以下，国内消费的增长空间已经不大。与此同时，国内有色金属的消费结构也发生了变化，一方面是品种发生分化，基本金属消费增速放缓，但以锂、钴等为代表的新能源金属消费大增；另一方面是消费领域结构发生变化，传统消费领域消费增长乏力，但</w:t>
      </w:r>
      <w:r>
        <w:rPr>
          <w:rFonts w:ascii="仿宋" w:hAnsi="仿宋" w:eastAsia="仿宋" w:cs="仿宋"/>
          <w:sz w:val="28"/>
          <w:szCs w:val="28"/>
        </w:rPr>
        <w:t>5G</w:t>
      </w:r>
      <w:r>
        <w:rPr>
          <w:rFonts w:hint="eastAsia" w:ascii="仿宋" w:hAnsi="仿宋" w:eastAsia="仿宋" w:cs="仿宋"/>
          <w:sz w:val="28"/>
          <w:szCs w:val="28"/>
        </w:rPr>
        <w:t>基建、特高压、城际高速铁路和城际轨道交通、新能源汽车充电桩、大数据中心、人工智能和工业互联网等“新基建”领域的消费保持较快增速。有色金属产业的发展已由过去的规模化扩张转向结构调整和精细化管理，产业升级和高质量发展成为新的发展主旋律。</w:t>
      </w:r>
    </w:p>
    <w:p>
      <w:pPr>
        <w:spacing w:line="560" w:lineRule="exact"/>
        <w:ind w:firstLine="31680" w:firstLineChars="200"/>
        <w:rPr>
          <w:rFonts w:ascii="仿宋" w:hAnsi="仿宋" w:eastAsia="仿宋" w:cs="Times New Roman"/>
          <w:sz w:val="28"/>
          <w:szCs w:val="28"/>
        </w:rPr>
      </w:pPr>
      <w:r>
        <w:rPr>
          <w:rFonts w:hint="eastAsia" w:ascii="仿宋" w:hAnsi="仿宋" w:eastAsia="仿宋" w:cs="仿宋"/>
          <w:sz w:val="28"/>
          <w:szCs w:val="28"/>
        </w:rPr>
        <w:t>“十三五”期间，龙岩市有色金属产业继续保持蓬勃发展的势头，</w:t>
      </w:r>
      <w:r>
        <w:rPr>
          <w:rFonts w:ascii="仿宋" w:hAnsi="仿宋" w:eastAsia="仿宋" w:cs="仿宋"/>
          <w:sz w:val="28"/>
          <w:szCs w:val="28"/>
        </w:rPr>
        <w:t>2020</w:t>
      </w:r>
      <w:r>
        <w:rPr>
          <w:rFonts w:hint="eastAsia" w:ascii="仿宋" w:hAnsi="仿宋" w:eastAsia="仿宋" w:cs="仿宋"/>
          <w:sz w:val="28"/>
          <w:szCs w:val="28"/>
        </w:rPr>
        <w:t>年实现产值</w:t>
      </w:r>
      <w:r>
        <w:rPr>
          <w:rFonts w:ascii="仿宋" w:hAnsi="仿宋" w:eastAsia="仿宋" w:cs="仿宋"/>
          <w:sz w:val="28"/>
          <w:szCs w:val="28"/>
        </w:rPr>
        <w:t>1073.4</w:t>
      </w:r>
      <w:r>
        <w:rPr>
          <w:rFonts w:hint="eastAsia" w:ascii="仿宋" w:hAnsi="仿宋" w:eastAsia="仿宋" w:cs="仿宋"/>
          <w:sz w:val="28"/>
          <w:szCs w:val="28"/>
        </w:rPr>
        <w:t>亿元，较</w:t>
      </w:r>
      <w:r>
        <w:rPr>
          <w:rFonts w:ascii="仿宋" w:hAnsi="仿宋" w:eastAsia="仿宋" w:cs="仿宋"/>
          <w:sz w:val="28"/>
          <w:szCs w:val="28"/>
        </w:rPr>
        <w:t>2016</w:t>
      </w:r>
      <w:r>
        <w:rPr>
          <w:rFonts w:hint="eastAsia" w:ascii="仿宋" w:hAnsi="仿宋" w:eastAsia="仿宋" w:cs="仿宋"/>
          <w:sz w:val="28"/>
          <w:szCs w:val="28"/>
        </w:rPr>
        <w:t>年增长</w:t>
      </w:r>
      <w:r>
        <w:rPr>
          <w:rFonts w:ascii="仿宋" w:hAnsi="仿宋" w:eastAsia="仿宋" w:cs="仿宋"/>
          <w:sz w:val="28"/>
          <w:szCs w:val="28"/>
        </w:rPr>
        <w:t>139.3%</w:t>
      </w:r>
      <w:r>
        <w:rPr>
          <w:rFonts w:hint="eastAsia" w:ascii="仿宋" w:hAnsi="仿宋" w:eastAsia="仿宋" w:cs="仿宋"/>
          <w:sz w:val="28"/>
          <w:szCs w:val="28"/>
        </w:rPr>
        <w:t>。经过多年的发展，龙岩市有色金属产业已形成较大的规模和较好的产业基础，以紫金矿业为龙头的金铜产业、以长汀金龙稀土公司为龙头的稀土产业和以厦门钨业控股的金鑫钨业为龙头的钨产业，成为龙岩市有色金属的支撑产业，尤其是金铜产业，已经构建了从矿山采选到终端应用的较为完整的产业链条。但也存在下游深加工延伸不够、科技创新能力不足、产业配套不齐全等问题。</w:t>
      </w:r>
    </w:p>
    <w:p>
      <w:pPr>
        <w:spacing w:line="560" w:lineRule="exact"/>
        <w:ind w:firstLine="31680" w:firstLineChars="200"/>
        <w:rPr>
          <w:rFonts w:ascii="仿宋" w:hAnsi="仿宋" w:eastAsia="仿宋" w:cs="Times New Roman"/>
          <w:sz w:val="28"/>
          <w:szCs w:val="28"/>
        </w:rPr>
      </w:pPr>
      <w:r>
        <w:rPr>
          <w:rFonts w:hint="eastAsia" w:ascii="仿宋" w:hAnsi="仿宋" w:eastAsia="仿宋" w:cs="仿宋"/>
          <w:sz w:val="28"/>
          <w:szCs w:val="28"/>
        </w:rPr>
        <w:t>为了更好地推进有色金属产业的发展壮大，推动产业结构升级调整和提升产业的发展质量，实现龙岩市“五基地六产业七景区”的发展布局，受龙岩市工业和信息化局委托，北京安泰科信息股份有限公司负责编制《龙岩市“十四五”有色金属产业发展规划》。本规划的基准年为</w:t>
      </w:r>
      <w:r>
        <w:rPr>
          <w:rFonts w:ascii="仿宋" w:hAnsi="仿宋" w:eastAsia="仿宋" w:cs="仿宋"/>
          <w:sz w:val="28"/>
          <w:szCs w:val="28"/>
        </w:rPr>
        <w:t>2020</w:t>
      </w:r>
      <w:r>
        <w:rPr>
          <w:rFonts w:hint="eastAsia" w:ascii="仿宋" w:hAnsi="仿宋" w:eastAsia="仿宋" w:cs="仿宋"/>
          <w:sz w:val="28"/>
          <w:szCs w:val="28"/>
        </w:rPr>
        <w:t>年，规划期限为</w:t>
      </w:r>
      <w:r>
        <w:rPr>
          <w:rFonts w:ascii="仿宋" w:hAnsi="仿宋" w:eastAsia="仿宋" w:cs="仿宋"/>
          <w:sz w:val="28"/>
          <w:szCs w:val="28"/>
        </w:rPr>
        <w:t>2021-2025</w:t>
      </w:r>
      <w:r>
        <w:rPr>
          <w:rFonts w:hint="eastAsia" w:ascii="仿宋" w:hAnsi="仿宋" w:eastAsia="仿宋" w:cs="仿宋"/>
          <w:sz w:val="28"/>
          <w:szCs w:val="28"/>
        </w:rPr>
        <w:t>年。</w:t>
      </w:r>
    </w:p>
    <w:p>
      <w:pPr>
        <w:spacing w:line="520" w:lineRule="exact"/>
        <w:ind w:firstLine="31680" w:firstLineChars="200"/>
        <w:rPr>
          <w:rFonts w:ascii="仿宋" w:hAnsi="仿宋" w:eastAsia="仿宋" w:cs="Times New Roman"/>
          <w:sz w:val="28"/>
          <w:szCs w:val="28"/>
        </w:rPr>
      </w:pPr>
      <w:r>
        <w:rPr>
          <w:rFonts w:hint="eastAsia" w:ascii="仿宋" w:hAnsi="仿宋" w:eastAsia="仿宋" w:cs="仿宋"/>
          <w:sz w:val="28"/>
          <w:szCs w:val="28"/>
        </w:rPr>
        <w:t>本规划的主要依据包括：</w:t>
      </w:r>
    </w:p>
    <w:p>
      <w:pPr>
        <w:pStyle w:val="19"/>
        <w:numPr>
          <w:ilvl w:val="0"/>
          <w:numId w:val="2"/>
        </w:numPr>
        <w:spacing w:line="460" w:lineRule="exact"/>
        <w:ind w:left="981" w:firstLineChars="0"/>
        <w:rPr>
          <w:rFonts w:ascii="楷体" w:hAnsi="楷体" w:eastAsia="楷体" w:cs="Times New Roman"/>
          <w:sz w:val="28"/>
          <w:szCs w:val="28"/>
        </w:rPr>
      </w:pPr>
      <w:r>
        <w:rPr>
          <w:rFonts w:hint="eastAsia" w:ascii="楷体" w:hAnsi="楷体" w:eastAsia="楷体" w:cs="楷体"/>
          <w:sz w:val="28"/>
          <w:szCs w:val="28"/>
        </w:rPr>
        <w:t>《国务院关于新时代支持革命老区振兴发展的意见》（</w:t>
      </w:r>
      <w:r>
        <w:rPr>
          <w:rFonts w:ascii="楷体" w:hAnsi="楷体" w:eastAsia="楷体" w:cs="楷体"/>
          <w:sz w:val="28"/>
          <w:szCs w:val="28"/>
        </w:rPr>
        <w:t>2021</w:t>
      </w:r>
      <w:r>
        <w:rPr>
          <w:rFonts w:hint="eastAsia" w:ascii="楷体" w:hAnsi="楷体" w:eastAsia="楷体" w:cs="楷体"/>
          <w:sz w:val="28"/>
          <w:szCs w:val="28"/>
        </w:rPr>
        <w:t>年）</w:t>
      </w:r>
    </w:p>
    <w:p>
      <w:pPr>
        <w:pStyle w:val="19"/>
        <w:numPr>
          <w:ilvl w:val="0"/>
          <w:numId w:val="2"/>
        </w:numPr>
        <w:spacing w:line="460" w:lineRule="exact"/>
        <w:ind w:left="981" w:firstLineChars="0"/>
        <w:rPr>
          <w:rFonts w:ascii="楷体" w:hAnsi="楷体" w:eastAsia="楷体" w:cs="Times New Roman"/>
          <w:sz w:val="28"/>
          <w:szCs w:val="28"/>
        </w:rPr>
      </w:pPr>
      <w:r>
        <w:rPr>
          <w:rFonts w:hint="eastAsia" w:ascii="楷体" w:hAnsi="楷体" w:eastAsia="楷体" w:cs="楷体"/>
          <w:sz w:val="28"/>
          <w:szCs w:val="28"/>
        </w:rPr>
        <w:t>《国务院关于加快培育和发展战略性新兴产业的决定》</w:t>
      </w:r>
    </w:p>
    <w:p>
      <w:pPr>
        <w:pStyle w:val="19"/>
        <w:numPr>
          <w:ilvl w:val="0"/>
          <w:numId w:val="2"/>
        </w:numPr>
        <w:spacing w:line="460" w:lineRule="exact"/>
        <w:ind w:left="981" w:firstLineChars="0"/>
        <w:rPr>
          <w:rFonts w:ascii="楷体" w:hAnsi="楷体" w:eastAsia="楷体" w:cs="Times New Roman"/>
          <w:sz w:val="28"/>
          <w:szCs w:val="28"/>
        </w:rPr>
      </w:pPr>
      <w:r>
        <w:rPr>
          <w:rFonts w:hint="eastAsia" w:ascii="楷体" w:hAnsi="楷体" w:eastAsia="楷体" w:cs="楷体"/>
          <w:sz w:val="28"/>
          <w:szCs w:val="28"/>
        </w:rPr>
        <w:t>《海峡西岸经济区发展规划》</w:t>
      </w:r>
    </w:p>
    <w:p>
      <w:pPr>
        <w:pStyle w:val="19"/>
        <w:numPr>
          <w:ilvl w:val="0"/>
          <w:numId w:val="2"/>
        </w:numPr>
        <w:spacing w:line="460" w:lineRule="exact"/>
        <w:ind w:left="981" w:firstLineChars="0"/>
        <w:rPr>
          <w:rFonts w:ascii="楷体" w:hAnsi="楷体" w:eastAsia="楷体" w:cs="Times New Roman"/>
          <w:sz w:val="28"/>
          <w:szCs w:val="28"/>
        </w:rPr>
      </w:pPr>
      <w:r>
        <w:rPr>
          <w:rFonts w:hint="eastAsia" w:ascii="楷体" w:hAnsi="楷体" w:eastAsia="楷体" w:cs="楷体"/>
          <w:sz w:val="28"/>
          <w:szCs w:val="28"/>
        </w:rPr>
        <w:t>《赣闽粤原中央苏区振兴发展规划》</w:t>
      </w:r>
    </w:p>
    <w:p>
      <w:pPr>
        <w:pStyle w:val="19"/>
        <w:numPr>
          <w:ilvl w:val="0"/>
          <w:numId w:val="2"/>
        </w:numPr>
        <w:spacing w:line="460" w:lineRule="exact"/>
        <w:ind w:left="981" w:firstLineChars="0"/>
        <w:rPr>
          <w:rFonts w:ascii="楷体" w:hAnsi="楷体" w:eastAsia="楷体" w:cs="Times New Roman"/>
          <w:sz w:val="28"/>
          <w:szCs w:val="28"/>
        </w:rPr>
      </w:pPr>
      <w:r>
        <w:rPr>
          <w:rFonts w:hint="eastAsia" w:ascii="楷体" w:hAnsi="楷体" w:eastAsia="楷体" w:cs="楷体"/>
          <w:sz w:val="28"/>
          <w:szCs w:val="28"/>
        </w:rPr>
        <w:t>《新能源汽车产业发展规划（</w:t>
      </w:r>
      <w:r>
        <w:rPr>
          <w:rFonts w:ascii="楷体" w:hAnsi="楷体" w:eastAsia="楷体" w:cs="楷体"/>
          <w:sz w:val="28"/>
          <w:szCs w:val="28"/>
        </w:rPr>
        <w:t>2021-2035</w:t>
      </w:r>
      <w:r>
        <w:rPr>
          <w:rFonts w:hint="eastAsia" w:ascii="楷体" w:hAnsi="楷体" w:eastAsia="楷体" w:cs="楷体"/>
          <w:sz w:val="28"/>
          <w:szCs w:val="28"/>
        </w:rPr>
        <w:t>）年》</w:t>
      </w:r>
    </w:p>
    <w:p>
      <w:pPr>
        <w:pStyle w:val="19"/>
        <w:numPr>
          <w:ilvl w:val="0"/>
          <w:numId w:val="2"/>
        </w:numPr>
        <w:spacing w:line="460" w:lineRule="exact"/>
        <w:ind w:left="981" w:firstLineChars="0"/>
        <w:rPr>
          <w:rFonts w:ascii="楷体" w:hAnsi="楷体" w:eastAsia="楷体" w:cs="Times New Roman"/>
          <w:sz w:val="28"/>
          <w:szCs w:val="28"/>
        </w:rPr>
      </w:pPr>
      <w:r>
        <w:rPr>
          <w:rFonts w:hint="eastAsia" w:ascii="楷体" w:hAnsi="楷体" w:eastAsia="楷体" w:cs="楷体"/>
          <w:sz w:val="28"/>
          <w:szCs w:val="28"/>
        </w:rPr>
        <w:t>《新材料产业“十三五”发展规划》</w:t>
      </w:r>
    </w:p>
    <w:p>
      <w:pPr>
        <w:pStyle w:val="19"/>
        <w:numPr>
          <w:ilvl w:val="0"/>
          <w:numId w:val="2"/>
        </w:numPr>
        <w:spacing w:line="460" w:lineRule="exact"/>
        <w:ind w:firstLineChars="0"/>
        <w:rPr>
          <w:rFonts w:ascii="楷体" w:hAnsi="楷体" w:eastAsia="楷体" w:cs="Times New Roman"/>
          <w:sz w:val="28"/>
          <w:szCs w:val="28"/>
        </w:rPr>
      </w:pPr>
      <w:r>
        <w:rPr>
          <w:rFonts w:hint="eastAsia" w:ascii="楷体" w:hAnsi="楷体" w:eastAsia="楷体" w:cs="楷体"/>
          <w:sz w:val="28"/>
          <w:szCs w:val="28"/>
        </w:rPr>
        <w:t>《有色金属工业发展规划（</w:t>
      </w:r>
      <w:r>
        <w:rPr>
          <w:rFonts w:ascii="楷体" w:hAnsi="楷体" w:eastAsia="楷体" w:cs="楷体"/>
          <w:sz w:val="28"/>
          <w:szCs w:val="28"/>
        </w:rPr>
        <w:t>2016-2020</w:t>
      </w:r>
      <w:r>
        <w:rPr>
          <w:rFonts w:hint="eastAsia" w:ascii="楷体" w:hAnsi="楷体" w:eastAsia="楷体" w:cs="楷体"/>
          <w:sz w:val="28"/>
          <w:szCs w:val="28"/>
        </w:rPr>
        <w:t>年）》</w:t>
      </w:r>
    </w:p>
    <w:p>
      <w:pPr>
        <w:pStyle w:val="19"/>
        <w:numPr>
          <w:ilvl w:val="0"/>
          <w:numId w:val="2"/>
        </w:numPr>
        <w:spacing w:line="460" w:lineRule="exact"/>
        <w:ind w:left="981" w:firstLineChars="0"/>
        <w:rPr>
          <w:rFonts w:ascii="楷体" w:hAnsi="楷体" w:eastAsia="楷体" w:cs="Times New Roman"/>
          <w:sz w:val="28"/>
          <w:szCs w:val="28"/>
        </w:rPr>
      </w:pPr>
      <w:r>
        <w:rPr>
          <w:rFonts w:hint="eastAsia" w:ascii="楷体" w:hAnsi="楷体" w:eastAsia="楷体" w:cs="楷体"/>
          <w:sz w:val="28"/>
          <w:szCs w:val="28"/>
        </w:rPr>
        <w:t>《战略性矿产资源产业高质量发展规划纲要（</w:t>
      </w:r>
      <w:r>
        <w:rPr>
          <w:rFonts w:ascii="楷体" w:hAnsi="楷体" w:eastAsia="楷体" w:cs="楷体"/>
          <w:sz w:val="28"/>
          <w:szCs w:val="28"/>
        </w:rPr>
        <w:t>2020-2035</w:t>
      </w:r>
      <w:r>
        <w:rPr>
          <w:rFonts w:hint="eastAsia" w:ascii="楷体" w:hAnsi="楷体" w:eastAsia="楷体" w:cs="楷体"/>
          <w:sz w:val="28"/>
          <w:szCs w:val="28"/>
        </w:rPr>
        <w:t>年）》</w:t>
      </w:r>
    </w:p>
    <w:p>
      <w:pPr>
        <w:pStyle w:val="19"/>
        <w:numPr>
          <w:ilvl w:val="0"/>
          <w:numId w:val="2"/>
        </w:numPr>
        <w:spacing w:line="460" w:lineRule="exact"/>
        <w:ind w:left="981" w:firstLineChars="0"/>
        <w:rPr>
          <w:rFonts w:ascii="楷体" w:hAnsi="楷体" w:eastAsia="楷体" w:cs="Times New Roman"/>
          <w:sz w:val="28"/>
          <w:szCs w:val="28"/>
        </w:rPr>
      </w:pPr>
      <w:r>
        <w:rPr>
          <w:rFonts w:hint="eastAsia" w:ascii="楷体" w:hAnsi="楷体" w:eastAsia="楷体" w:cs="楷体"/>
          <w:sz w:val="28"/>
          <w:szCs w:val="28"/>
        </w:rPr>
        <w:t>《铜冶炼行业规范条件》（</w:t>
      </w:r>
      <w:r>
        <w:rPr>
          <w:rFonts w:ascii="楷体" w:hAnsi="楷体" w:eastAsia="楷体" w:cs="楷体"/>
          <w:sz w:val="28"/>
          <w:szCs w:val="28"/>
        </w:rPr>
        <w:t>2019</w:t>
      </w:r>
      <w:r>
        <w:rPr>
          <w:rFonts w:hint="eastAsia" w:ascii="楷体" w:hAnsi="楷体" w:eastAsia="楷体" w:cs="楷体"/>
          <w:sz w:val="28"/>
          <w:szCs w:val="28"/>
        </w:rPr>
        <w:t>年版）</w:t>
      </w:r>
    </w:p>
    <w:p>
      <w:pPr>
        <w:pStyle w:val="19"/>
        <w:numPr>
          <w:ilvl w:val="0"/>
          <w:numId w:val="2"/>
        </w:numPr>
        <w:spacing w:line="460" w:lineRule="exact"/>
        <w:ind w:left="981" w:firstLineChars="0"/>
        <w:rPr>
          <w:rFonts w:ascii="楷体" w:hAnsi="楷体" w:eastAsia="楷体" w:cs="Times New Roman"/>
          <w:sz w:val="28"/>
          <w:szCs w:val="28"/>
        </w:rPr>
      </w:pPr>
      <w:r>
        <w:rPr>
          <w:rFonts w:hint="eastAsia" w:ascii="楷体" w:hAnsi="楷体" w:eastAsia="楷体" w:cs="楷体"/>
          <w:sz w:val="28"/>
          <w:szCs w:val="28"/>
        </w:rPr>
        <w:t>《稀土功能材料</w:t>
      </w:r>
      <w:r>
        <w:rPr>
          <w:rFonts w:ascii="楷体" w:hAnsi="楷体" w:eastAsia="楷体" w:cs="楷体"/>
          <w:sz w:val="28"/>
          <w:szCs w:val="28"/>
        </w:rPr>
        <w:t>2035</w:t>
      </w:r>
      <w:r>
        <w:rPr>
          <w:rFonts w:hint="eastAsia" w:ascii="楷体" w:hAnsi="楷体" w:eastAsia="楷体" w:cs="楷体"/>
          <w:sz w:val="28"/>
          <w:szCs w:val="28"/>
        </w:rPr>
        <w:t>发展战略》</w:t>
      </w:r>
    </w:p>
    <w:p>
      <w:pPr>
        <w:pStyle w:val="19"/>
        <w:numPr>
          <w:ilvl w:val="0"/>
          <w:numId w:val="2"/>
        </w:numPr>
        <w:spacing w:line="460" w:lineRule="exact"/>
        <w:ind w:left="981" w:firstLineChars="0"/>
        <w:rPr>
          <w:rFonts w:ascii="楷体" w:hAnsi="楷体" w:eastAsia="楷体" w:cs="Times New Roman"/>
          <w:sz w:val="28"/>
          <w:szCs w:val="28"/>
        </w:rPr>
      </w:pPr>
      <w:r>
        <w:rPr>
          <w:rFonts w:hint="eastAsia" w:ascii="楷体" w:hAnsi="楷体" w:eastAsia="楷体" w:cs="楷体"/>
          <w:sz w:val="28"/>
          <w:szCs w:val="28"/>
        </w:rPr>
        <w:t>《稀土管理条例（征求意见稿）》</w:t>
      </w:r>
    </w:p>
    <w:p>
      <w:pPr>
        <w:pStyle w:val="19"/>
        <w:numPr>
          <w:ilvl w:val="0"/>
          <w:numId w:val="2"/>
        </w:numPr>
        <w:spacing w:line="460" w:lineRule="exact"/>
        <w:ind w:firstLineChars="0"/>
        <w:rPr>
          <w:rFonts w:ascii="楷体" w:hAnsi="楷体" w:eastAsia="楷体" w:cs="Times New Roman"/>
          <w:sz w:val="28"/>
          <w:szCs w:val="28"/>
        </w:rPr>
      </w:pPr>
      <w:r>
        <w:rPr>
          <w:rFonts w:hint="eastAsia" w:ascii="楷体" w:hAnsi="楷体" w:eastAsia="楷体" w:cs="楷体"/>
          <w:sz w:val="28"/>
          <w:szCs w:val="28"/>
        </w:rPr>
        <w:t>《中国钨工业“十三五”规划》</w:t>
      </w:r>
    </w:p>
    <w:p>
      <w:pPr>
        <w:pStyle w:val="19"/>
        <w:numPr>
          <w:ilvl w:val="0"/>
          <w:numId w:val="2"/>
        </w:numPr>
        <w:spacing w:line="460" w:lineRule="exact"/>
        <w:ind w:firstLineChars="0"/>
        <w:rPr>
          <w:rFonts w:ascii="楷体" w:hAnsi="楷体" w:eastAsia="楷体" w:cs="Times New Roman"/>
          <w:sz w:val="28"/>
          <w:szCs w:val="28"/>
        </w:rPr>
      </w:pPr>
      <w:r>
        <w:rPr>
          <w:rFonts w:hint="eastAsia" w:ascii="楷体" w:hAnsi="楷体" w:eastAsia="楷体" w:cs="楷体"/>
          <w:sz w:val="28"/>
          <w:szCs w:val="28"/>
        </w:rPr>
        <w:t>《钨行业规范条件》（</w:t>
      </w:r>
      <w:r>
        <w:rPr>
          <w:rFonts w:ascii="楷体" w:hAnsi="楷体" w:eastAsia="楷体" w:cs="楷体"/>
          <w:sz w:val="28"/>
          <w:szCs w:val="28"/>
        </w:rPr>
        <w:t>2016</w:t>
      </w:r>
      <w:r>
        <w:rPr>
          <w:rFonts w:hint="eastAsia" w:ascii="楷体" w:hAnsi="楷体" w:eastAsia="楷体" w:cs="楷体"/>
          <w:sz w:val="28"/>
          <w:szCs w:val="28"/>
        </w:rPr>
        <w:t>年版）</w:t>
      </w:r>
    </w:p>
    <w:p>
      <w:pPr>
        <w:pStyle w:val="19"/>
        <w:numPr>
          <w:ilvl w:val="0"/>
          <w:numId w:val="2"/>
        </w:numPr>
        <w:spacing w:line="460" w:lineRule="exact"/>
        <w:ind w:left="981" w:firstLineChars="0"/>
        <w:rPr>
          <w:rFonts w:ascii="楷体" w:hAnsi="楷体" w:eastAsia="楷体" w:cs="Times New Roman"/>
          <w:sz w:val="28"/>
          <w:szCs w:val="28"/>
        </w:rPr>
      </w:pPr>
      <w:r>
        <w:rPr>
          <w:rFonts w:hint="eastAsia" w:ascii="楷体" w:hAnsi="楷体" w:eastAsia="楷体" w:cs="楷体"/>
          <w:sz w:val="28"/>
          <w:szCs w:val="28"/>
        </w:rPr>
        <w:t>《再生铜原料》、《再生黄铜原料》标准实施（</w:t>
      </w:r>
      <w:r>
        <w:rPr>
          <w:rFonts w:ascii="楷体" w:hAnsi="楷体" w:eastAsia="楷体" w:cs="楷体"/>
          <w:sz w:val="28"/>
          <w:szCs w:val="28"/>
        </w:rPr>
        <w:t>2020</w:t>
      </w:r>
      <w:r>
        <w:rPr>
          <w:rFonts w:hint="eastAsia" w:ascii="楷体" w:hAnsi="楷体" w:eastAsia="楷体" w:cs="楷体"/>
          <w:sz w:val="28"/>
          <w:szCs w:val="28"/>
        </w:rPr>
        <w:t>年）</w:t>
      </w:r>
    </w:p>
    <w:p>
      <w:pPr>
        <w:pStyle w:val="19"/>
        <w:numPr>
          <w:ilvl w:val="0"/>
          <w:numId w:val="2"/>
        </w:numPr>
        <w:spacing w:line="460" w:lineRule="exact"/>
        <w:ind w:left="981" w:firstLineChars="0"/>
        <w:rPr>
          <w:rFonts w:ascii="楷体" w:hAnsi="楷体" w:eastAsia="楷体" w:cs="Times New Roman"/>
          <w:sz w:val="28"/>
          <w:szCs w:val="28"/>
        </w:rPr>
      </w:pPr>
      <w:r>
        <w:fldChar w:fldCharType="begin"/>
      </w:r>
      <w:r>
        <w:instrText xml:space="preserve">HYPERLINK "http://www.sdpc.gov.cn/zcfb/zcfbl/201503/w020150402620481787669.pdf" </w:instrText>
      </w:r>
      <w:r>
        <w:fldChar w:fldCharType="separate"/>
      </w:r>
      <w:r>
        <w:rPr>
          <w:rFonts w:hint="eastAsia" w:ascii="楷体" w:hAnsi="楷体" w:eastAsia="楷体" w:cs="楷体"/>
          <w:sz w:val="28"/>
          <w:szCs w:val="28"/>
        </w:rPr>
        <w:t>《鼓励外商投资产业目录（</w:t>
      </w:r>
      <w:r>
        <w:rPr>
          <w:rFonts w:ascii="楷体" w:hAnsi="楷体" w:eastAsia="楷体" w:cs="楷体"/>
          <w:sz w:val="28"/>
          <w:szCs w:val="28"/>
        </w:rPr>
        <w:t>2019</w:t>
      </w:r>
      <w:r>
        <w:rPr>
          <w:rFonts w:hint="eastAsia" w:ascii="楷体" w:hAnsi="楷体" w:eastAsia="楷体" w:cs="楷体"/>
          <w:sz w:val="28"/>
          <w:szCs w:val="28"/>
        </w:rPr>
        <w:t>年版）》</w:t>
      </w:r>
      <w:r>
        <w:fldChar w:fldCharType="end"/>
      </w:r>
      <w:bookmarkStart w:id="1" w:name="_Toc359595400"/>
    </w:p>
    <w:p>
      <w:pPr>
        <w:pStyle w:val="19"/>
        <w:numPr>
          <w:ilvl w:val="0"/>
          <w:numId w:val="2"/>
        </w:numPr>
        <w:spacing w:line="460" w:lineRule="exact"/>
        <w:ind w:left="981" w:firstLineChars="0"/>
        <w:rPr>
          <w:rFonts w:ascii="楷体" w:hAnsi="楷体" w:eastAsia="楷体" w:cs="Times New Roman"/>
          <w:sz w:val="28"/>
          <w:szCs w:val="28"/>
        </w:rPr>
      </w:pPr>
      <w:r>
        <w:rPr>
          <w:rFonts w:hint="eastAsia" w:ascii="楷体" w:hAnsi="楷体" w:eastAsia="楷体" w:cs="楷体"/>
          <w:sz w:val="28"/>
          <w:szCs w:val="28"/>
        </w:rPr>
        <w:t>《福建省国民经济和社会发展第十三个五年规划》</w:t>
      </w:r>
      <w:bookmarkEnd w:id="1"/>
      <w:bookmarkStart w:id="2" w:name="_Toc359595401"/>
    </w:p>
    <w:p>
      <w:pPr>
        <w:pStyle w:val="19"/>
        <w:numPr>
          <w:ilvl w:val="0"/>
          <w:numId w:val="2"/>
        </w:numPr>
        <w:spacing w:line="460" w:lineRule="exact"/>
        <w:ind w:left="981" w:firstLineChars="0"/>
        <w:rPr>
          <w:rFonts w:ascii="楷体" w:hAnsi="楷体" w:eastAsia="楷体" w:cs="Times New Roman"/>
          <w:sz w:val="28"/>
          <w:szCs w:val="28"/>
        </w:rPr>
      </w:pPr>
      <w:r>
        <w:rPr>
          <w:rFonts w:hint="eastAsia" w:ascii="楷体" w:hAnsi="楷体" w:eastAsia="楷体" w:cs="楷体"/>
          <w:sz w:val="28"/>
          <w:szCs w:val="28"/>
        </w:rPr>
        <w:t>《龙岩市“十三五”工业转型升级专项规划》</w:t>
      </w:r>
      <w:bookmarkEnd w:id="2"/>
      <w:r>
        <w:rPr>
          <w:rFonts w:hint="eastAsia" w:ascii="楷体" w:hAnsi="楷体" w:eastAsia="楷体" w:cs="楷体"/>
          <w:sz w:val="28"/>
          <w:szCs w:val="28"/>
        </w:rPr>
        <w:t>（</w:t>
      </w:r>
      <w:r>
        <w:rPr>
          <w:rFonts w:ascii="楷体" w:hAnsi="楷体" w:eastAsia="楷体" w:cs="楷体"/>
          <w:sz w:val="28"/>
          <w:szCs w:val="28"/>
        </w:rPr>
        <w:t>2016</w:t>
      </w:r>
      <w:r>
        <w:rPr>
          <w:rFonts w:hint="eastAsia" w:ascii="楷体" w:hAnsi="楷体" w:eastAsia="楷体" w:cs="楷体"/>
          <w:sz w:val="28"/>
          <w:szCs w:val="28"/>
        </w:rPr>
        <w:t>年）</w:t>
      </w:r>
      <w:bookmarkStart w:id="3" w:name="_Toc359595402"/>
    </w:p>
    <w:bookmarkEnd w:id="3"/>
    <w:p>
      <w:pPr>
        <w:pStyle w:val="2"/>
        <w:spacing w:before="120" w:after="120" w:line="240" w:lineRule="auto"/>
        <w:rPr>
          <w:rFonts w:ascii="黑体" w:hAnsi="黑体" w:eastAsia="黑体" w:cs="Times New Roman"/>
          <w:b w:val="0"/>
          <w:bCs w:val="0"/>
          <w:sz w:val="28"/>
          <w:szCs w:val="28"/>
        </w:rPr>
      </w:pPr>
      <w:bookmarkStart w:id="4" w:name="_Toc70684618"/>
      <w:r>
        <w:rPr>
          <w:rFonts w:hint="eastAsia" w:ascii="黑体" w:hAnsi="黑体" w:eastAsia="黑体" w:cs="黑体"/>
          <w:b w:val="0"/>
          <w:bCs w:val="0"/>
          <w:sz w:val="28"/>
          <w:szCs w:val="28"/>
        </w:rPr>
        <w:t>二、产业发展环境分析</w:t>
      </w:r>
      <w:bookmarkEnd w:id="4"/>
    </w:p>
    <w:p>
      <w:pPr>
        <w:pStyle w:val="3"/>
        <w:rPr>
          <w:rFonts w:ascii="仿宋" w:hAnsi="仿宋" w:eastAsia="仿宋" w:cs="Times New Roman"/>
          <w:sz w:val="28"/>
          <w:szCs w:val="28"/>
        </w:rPr>
      </w:pPr>
      <w:bookmarkStart w:id="5" w:name="_Toc70684619"/>
      <w:r>
        <w:rPr>
          <w:rFonts w:hint="eastAsia" w:ascii="仿宋" w:hAnsi="仿宋" w:eastAsia="仿宋" w:cs="仿宋"/>
          <w:sz w:val="28"/>
          <w:szCs w:val="28"/>
        </w:rPr>
        <w:t>（一）铜产业发展现状及趋势</w:t>
      </w:r>
      <w:bookmarkEnd w:id="5"/>
    </w:p>
    <w:p>
      <w:pPr>
        <w:pStyle w:val="4"/>
        <w:spacing w:before="240" w:after="120" w:line="415" w:lineRule="auto"/>
        <w:rPr>
          <w:rFonts w:ascii="仿宋" w:hAnsi="仿宋" w:eastAsia="仿宋" w:cs="Times New Roman"/>
          <w:sz w:val="28"/>
          <w:szCs w:val="28"/>
        </w:rPr>
      </w:pPr>
      <w:bookmarkStart w:id="6" w:name="_Toc70684620"/>
      <w:r>
        <w:rPr>
          <w:rFonts w:ascii="仿宋" w:hAnsi="仿宋" w:eastAsia="仿宋" w:cs="仿宋"/>
          <w:sz w:val="28"/>
          <w:szCs w:val="28"/>
        </w:rPr>
        <w:t>1.</w:t>
      </w:r>
      <w:r>
        <w:rPr>
          <w:rFonts w:hint="eastAsia" w:ascii="仿宋" w:hAnsi="仿宋" w:eastAsia="仿宋" w:cs="仿宋"/>
          <w:sz w:val="28"/>
          <w:szCs w:val="28"/>
        </w:rPr>
        <w:t>国内外铜生产现状及趋势</w:t>
      </w:r>
      <w:bookmarkEnd w:id="6"/>
    </w:p>
    <w:p>
      <w:pPr>
        <w:spacing w:line="560" w:lineRule="exact"/>
        <w:ind w:firstLine="31680" w:firstLineChars="200"/>
        <w:rPr>
          <w:rFonts w:ascii="仿宋" w:hAnsi="仿宋" w:eastAsia="仿宋" w:cs="Times New Roman"/>
          <w:sz w:val="28"/>
          <w:szCs w:val="28"/>
        </w:rPr>
      </w:pPr>
      <w:r>
        <w:rPr>
          <w:rFonts w:hint="eastAsia" w:ascii="仿宋" w:hAnsi="仿宋" w:eastAsia="仿宋" w:cs="仿宋"/>
          <w:sz w:val="28"/>
          <w:szCs w:val="28"/>
        </w:rPr>
        <w:t>从全球主要铜矿生产国来看，智利、秘鲁、中国、美国、俄罗斯、澳大利亚、赞比亚等是主要铜矿生产国家，且未来这种生产较为集中的格局将持续很长时间。</w:t>
      </w:r>
    </w:p>
    <w:p>
      <w:pPr>
        <w:spacing w:line="560" w:lineRule="exact"/>
        <w:ind w:firstLine="31680" w:firstLineChars="200"/>
        <w:rPr>
          <w:rFonts w:ascii="仿宋" w:hAnsi="仿宋" w:eastAsia="仿宋" w:cs="Times New Roman"/>
          <w:sz w:val="28"/>
          <w:szCs w:val="28"/>
        </w:rPr>
      </w:pPr>
      <w:r>
        <w:rPr>
          <w:rFonts w:hint="eastAsia" w:ascii="仿宋" w:hAnsi="仿宋" w:eastAsia="仿宋" w:cs="仿宋"/>
          <w:sz w:val="28"/>
          <w:szCs w:val="28"/>
        </w:rPr>
        <w:t>据国际铜研究小组（</w:t>
      </w:r>
      <w:r>
        <w:rPr>
          <w:rFonts w:ascii="仿宋" w:hAnsi="仿宋" w:eastAsia="仿宋" w:cs="仿宋"/>
          <w:sz w:val="28"/>
          <w:szCs w:val="28"/>
        </w:rPr>
        <w:t>ICSG</w:t>
      </w:r>
      <w:r>
        <w:rPr>
          <w:rFonts w:hint="eastAsia" w:ascii="仿宋" w:hAnsi="仿宋" w:eastAsia="仿宋" w:cs="仿宋"/>
          <w:sz w:val="28"/>
          <w:szCs w:val="28"/>
        </w:rPr>
        <w:t>）数据显示，</w:t>
      </w:r>
      <w:r>
        <w:rPr>
          <w:rFonts w:ascii="仿宋" w:hAnsi="仿宋" w:eastAsia="仿宋" w:cs="仿宋"/>
          <w:sz w:val="28"/>
          <w:szCs w:val="28"/>
        </w:rPr>
        <w:t>2016-2020</w:t>
      </w:r>
      <w:r>
        <w:rPr>
          <w:rFonts w:hint="eastAsia" w:ascii="仿宋" w:hAnsi="仿宋" w:eastAsia="仿宋" w:cs="仿宋"/>
          <w:sz w:val="28"/>
          <w:szCs w:val="28"/>
        </w:rPr>
        <w:t>年期间，全球铜精炼产能从</w:t>
      </w:r>
      <w:r>
        <w:rPr>
          <w:rFonts w:ascii="仿宋" w:hAnsi="仿宋" w:eastAsia="仿宋" w:cs="仿宋"/>
          <w:sz w:val="28"/>
          <w:szCs w:val="28"/>
        </w:rPr>
        <w:t>2723</w:t>
      </w:r>
      <w:r>
        <w:rPr>
          <w:rFonts w:hint="eastAsia" w:ascii="仿宋" w:hAnsi="仿宋" w:eastAsia="仿宋" w:cs="仿宋"/>
          <w:sz w:val="28"/>
          <w:szCs w:val="28"/>
        </w:rPr>
        <w:t>万吨</w:t>
      </w:r>
      <w:r>
        <w:rPr>
          <w:rFonts w:ascii="仿宋" w:hAnsi="仿宋" w:eastAsia="仿宋" w:cs="仿宋"/>
          <w:sz w:val="28"/>
          <w:szCs w:val="28"/>
        </w:rPr>
        <w:t>/</w:t>
      </w:r>
      <w:r>
        <w:rPr>
          <w:rFonts w:hint="eastAsia" w:ascii="仿宋" w:hAnsi="仿宋" w:eastAsia="仿宋" w:cs="仿宋"/>
          <w:sz w:val="28"/>
          <w:szCs w:val="28"/>
        </w:rPr>
        <w:t>年增加至</w:t>
      </w:r>
      <w:r>
        <w:rPr>
          <w:rFonts w:ascii="仿宋" w:hAnsi="仿宋" w:eastAsia="仿宋" w:cs="仿宋"/>
          <w:sz w:val="28"/>
          <w:szCs w:val="28"/>
        </w:rPr>
        <w:t>2995</w:t>
      </w:r>
      <w:r>
        <w:rPr>
          <w:rFonts w:hint="eastAsia" w:ascii="仿宋" w:hAnsi="仿宋" w:eastAsia="仿宋" w:cs="仿宋"/>
          <w:sz w:val="28"/>
          <w:szCs w:val="28"/>
        </w:rPr>
        <w:t>万吨</w:t>
      </w:r>
      <w:r>
        <w:rPr>
          <w:rFonts w:ascii="仿宋" w:hAnsi="仿宋" w:eastAsia="仿宋" w:cs="仿宋"/>
          <w:sz w:val="28"/>
          <w:szCs w:val="28"/>
        </w:rPr>
        <w:t>/</w:t>
      </w:r>
      <w:r>
        <w:rPr>
          <w:rFonts w:hint="eastAsia" w:ascii="仿宋" w:hAnsi="仿宋" w:eastAsia="仿宋" w:cs="仿宋"/>
          <w:sz w:val="28"/>
          <w:szCs w:val="28"/>
        </w:rPr>
        <w:t>年，增长主要来自中国。从产业规模和工艺装备来看，中国的铜冶炼在全球都具备较强的竞争优势，粗铜产能和精炼产能分别占全球的</w:t>
      </w:r>
      <w:r>
        <w:rPr>
          <w:rFonts w:ascii="仿宋" w:hAnsi="仿宋" w:eastAsia="仿宋" w:cs="仿宋"/>
          <w:sz w:val="28"/>
          <w:szCs w:val="28"/>
        </w:rPr>
        <w:t>36.0%</w:t>
      </w:r>
      <w:r>
        <w:rPr>
          <w:rFonts w:hint="eastAsia" w:ascii="仿宋" w:hAnsi="仿宋" w:eastAsia="仿宋" w:cs="仿宋"/>
          <w:sz w:val="28"/>
          <w:szCs w:val="28"/>
        </w:rPr>
        <w:t>和</w:t>
      </w:r>
      <w:r>
        <w:rPr>
          <w:rFonts w:ascii="仿宋" w:hAnsi="仿宋" w:eastAsia="仿宋" w:cs="仿宋"/>
          <w:sz w:val="28"/>
          <w:szCs w:val="28"/>
        </w:rPr>
        <w:t>40.7%</w:t>
      </w:r>
      <w:r>
        <w:rPr>
          <w:rFonts w:hint="eastAsia" w:ascii="仿宋" w:hAnsi="仿宋" w:eastAsia="仿宋" w:cs="仿宋"/>
          <w:sz w:val="28"/>
          <w:szCs w:val="28"/>
        </w:rPr>
        <w:t>，从工艺装备看，中国的铜冶炼企业在自动化、经济技术指标、环保水平等方面，已经进入了世界前列。</w:t>
      </w:r>
    </w:p>
    <w:p>
      <w:pPr>
        <w:spacing w:line="560" w:lineRule="exact"/>
        <w:ind w:firstLine="31680" w:firstLineChars="200"/>
        <w:rPr>
          <w:rFonts w:ascii="仿宋" w:hAnsi="仿宋" w:eastAsia="仿宋" w:cs="Times New Roman"/>
          <w:sz w:val="28"/>
          <w:szCs w:val="28"/>
        </w:rPr>
      </w:pPr>
      <w:r>
        <w:rPr>
          <w:rFonts w:ascii="仿宋" w:hAnsi="仿宋" w:eastAsia="仿宋" w:cs="仿宋"/>
          <w:sz w:val="28"/>
          <w:szCs w:val="28"/>
        </w:rPr>
        <w:t>2016-2020</w:t>
      </w:r>
      <w:r>
        <w:rPr>
          <w:rFonts w:hint="eastAsia" w:ascii="仿宋" w:hAnsi="仿宋" w:eastAsia="仿宋" w:cs="仿宋"/>
          <w:sz w:val="28"/>
          <w:szCs w:val="28"/>
        </w:rPr>
        <w:t>年期间，全球精铜产量从</w:t>
      </w:r>
      <w:r>
        <w:rPr>
          <w:rFonts w:ascii="仿宋" w:hAnsi="仿宋" w:eastAsia="仿宋" w:cs="仿宋"/>
          <w:sz w:val="28"/>
          <w:szCs w:val="28"/>
        </w:rPr>
        <w:t>2250</w:t>
      </w:r>
      <w:r>
        <w:rPr>
          <w:rFonts w:hint="eastAsia" w:ascii="仿宋" w:hAnsi="仿宋" w:eastAsia="仿宋" w:cs="仿宋"/>
          <w:sz w:val="28"/>
          <w:szCs w:val="28"/>
        </w:rPr>
        <w:t>万吨增加至</w:t>
      </w:r>
      <w:r>
        <w:rPr>
          <w:rFonts w:ascii="仿宋" w:hAnsi="仿宋" w:eastAsia="仿宋" w:cs="仿宋"/>
          <w:sz w:val="28"/>
          <w:szCs w:val="28"/>
        </w:rPr>
        <w:t>2307</w:t>
      </w:r>
      <w:r>
        <w:rPr>
          <w:rFonts w:hint="eastAsia" w:ascii="仿宋" w:hAnsi="仿宋" w:eastAsia="仿宋" w:cs="仿宋"/>
          <w:sz w:val="28"/>
          <w:szCs w:val="28"/>
        </w:rPr>
        <w:t>万吨，其中</w:t>
      </w:r>
      <w:r>
        <w:rPr>
          <w:rFonts w:ascii="仿宋" w:hAnsi="仿宋" w:eastAsia="仿宋" w:cs="仿宋"/>
          <w:sz w:val="28"/>
          <w:szCs w:val="28"/>
        </w:rPr>
        <w:t>2019</w:t>
      </w:r>
      <w:r>
        <w:rPr>
          <w:rFonts w:hint="eastAsia" w:ascii="仿宋" w:hAnsi="仿宋" w:eastAsia="仿宋" w:cs="仿宋"/>
          <w:sz w:val="28"/>
          <w:szCs w:val="28"/>
        </w:rPr>
        <w:t>年最高达到</w:t>
      </w:r>
      <w:r>
        <w:rPr>
          <w:rFonts w:ascii="仿宋" w:hAnsi="仿宋" w:eastAsia="仿宋" w:cs="仿宋"/>
          <w:sz w:val="28"/>
          <w:szCs w:val="28"/>
        </w:rPr>
        <w:t>2336</w:t>
      </w:r>
      <w:r>
        <w:rPr>
          <w:rFonts w:hint="eastAsia" w:ascii="仿宋" w:hAnsi="仿宋" w:eastAsia="仿宋" w:cs="仿宋"/>
          <w:sz w:val="28"/>
          <w:szCs w:val="28"/>
        </w:rPr>
        <w:t>万吨，</w:t>
      </w:r>
      <w:r>
        <w:rPr>
          <w:rFonts w:ascii="仿宋" w:hAnsi="仿宋" w:eastAsia="仿宋" w:cs="仿宋"/>
          <w:sz w:val="28"/>
          <w:szCs w:val="28"/>
        </w:rPr>
        <w:t>2020</w:t>
      </w:r>
      <w:r>
        <w:rPr>
          <w:rFonts w:hint="eastAsia" w:ascii="仿宋" w:hAnsi="仿宋" w:eastAsia="仿宋" w:cs="仿宋"/>
          <w:sz w:val="28"/>
          <w:szCs w:val="28"/>
        </w:rPr>
        <w:t>年受新冠疫情影响有所下滑。全球精铜生产主要分布在铜消费集中或铜储量丰富的国家和地区，如：中国、智利、日本、德国、俄罗斯、美国、赞比亚、刚果（金）等。其中中国产量稳居全球首位，占全球精铜产量比例可达四成以上。</w:t>
      </w:r>
    </w:p>
    <w:p>
      <w:pPr>
        <w:spacing w:line="560" w:lineRule="exact"/>
        <w:ind w:firstLine="31680" w:firstLineChars="200"/>
        <w:rPr>
          <w:rFonts w:ascii="仿宋" w:hAnsi="仿宋" w:eastAsia="仿宋" w:cs="Times New Roman"/>
          <w:sz w:val="28"/>
          <w:szCs w:val="28"/>
        </w:rPr>
      </w:pPr>
      <w:r>
        <w:rPr>
          <w:rFonts w:hint="eastAsia" w:ascii="仿宋" w:hAnsi="仿宋" w:eastAsia="仿宋" w:cs="仿宋"/>
          <w:sz w:val="28"/>
          <w:szCs w:val="28"/>
        </w:rPr>
        <w:t>从未来趋势来看，亚洲精铜产量居首的地位不会改变，且由于中国精炼产能仍处于扩张阶段，仍是全球产能增长的主要贡献力量。</w:t>
      </w:r>
    </w:p>
    <w:p>
      <w:pPr>
        <w:pStyle w:val="4"/>
        <w:spacing w:before="240" w:after="120" w:line="415" w:lineRule="auto"/>
        <w:rPr>
          <w:rFonts w:ascii="仿宋" w:hAnsi="仿宋" w:eastAsia="仿宋" w:cs="Times New Roman"/>
          <w:sz w:val="28"/>
          <w:szCs w:val="28"/>
        </w:rPr>
      </w:pPr>
      <w:bookmarkStart w:id="7" w:name="_Toc70684621"/>
      <w:r>
        <w:rPr>
          <w:rFonts w:ascii="仿宋" w:hAnsi="仿宋" w:eastAsia="仿宋" w:cs="仿宋"/>
          <w:sz w:val="28"/>
          <w:szCs w:val="28"/>
        </w:rPr>
        <w:t>2.</w:t>
      </w:r>
      <w:r>
        <w:rPr>
          <w:rFonts w:hint="eastAsia" w:ascii="仿宋" w:hAnsi="仿宋" w:eastAsia="仿宋" w:cs="仿宋"/>
          <w:sz w:val="28"/>
          <w:szCs w:val="28"/>
        </w:rPr>
        <w:t>国内外铜需求现状及趋势</w:t>
      </w:r>
      <w:bookmarkEnd w:id="7"/>
    </w:p>
    <w:p>
      <w:pPr>
        <w:spacing w:line="560" w:lineRule="exact"/>
        <w:ind w:firstLine="31680" w:firstLineChars="200"/>
        <w:rPr>
          <w:rFonts w:ascii="仿宋" w:hAnsi="仿宋" w:eastAsia="仿宋" w:cs="Times New Roman"/>
          <w:sz w:val="28"/>
          <w:szCs w:val="28"/>
        </w:rPr>
      </w:pPr>
      <w:r>
        <w:rPr>
          <w:rFonts w:hint="eastAsia" w:ascii="仿宋" w:hAnsi="仿宋" w:eastAsia="仿宋" w:cs="仿宋"/>
          <w:sz w:val="28"/>
          <w:szCs w:val="28"/>
        </w:rPr>
        <w:t>根据</w:t>
      </w:r>
      <w:r>
        <w:rPr>
          <w:rFonts w:ascii="仿宋" w:hAnsi="仿宋" w:eastAsia="仿宋" w:cs="仿宋"/>
          <w:sz w:val="28"/>
          <w:szCs w:val="28"/>
        </w:rPr>
        <w:t>ICSG</w:t>
      </w:r>
      <w:r>
        <w:rPr>
          <w:rFonts w:hint="eastAsia" w:ascii="仿宋" w:hAnsi="仿宋" w:eastAsia="仿宋" w:cs="仿宋"/>
          <w:sz w:val="28"/>
          <w:szCs w:val="28"/>
        </w:rPr>
        <w:t>和安泰科数据，</w:t>
      </w:r>
      <w:r>
        <w:rPr>
          <w:rFonts w:ascii="仿宋" w:hAnsi="仿宋" w:eastAsia="仿宋" w:cs="仿宋"/>
          <w:sz w:val="28"/>
          <w:szCs w:val="28"/>
        </w:rPr>
        <w:t>2020</w:t>
      </w:r>
      <w:r>
        <w:rPr>
          <w:rFonts w:hint="eastAsia" w:ascii="仿宋" w:hAnsi="仿宋" w:eastAsia="仿宋" w:cs="仿宋"/>
          <w:sz w:val="28"/>
          <w:szCs w:val="28"/>
        </w:rPr>
        <w:t>年全球铜精矿需求量达到</w:t>
      </w:r>
      <w:r>
        <w:rPr>
          <w:rFonts w:ascii="仿宋" w:hAnsi="仿宋" w:eastAsia="仿宋" w:cs="仿宋"/>
          <w:sz w:val="28"/>
          <w:szCs w:val="28"/>
        </w:rPr>
        <w:t>1728</w:t>
      </w:r>
      <w:r>
        <w:rPr>
          <w:rFonts w:hint="eastAsia" w:ascii="仿宋" w:hAnsi="仿宋" w:eastAsia="仿宋" w:cs="仿宋"/>
          <w:sz w:val="28"/>
          <w:szCs w:val="28"/>
        </w:rPr>
        <w:t>万吨，其中，亚洲的中国、日本、印度和韩国四国需求量占当年全球铜精矿需求总量的</w:t>
      </w:r>
      <w:r>
        <w:rPr>
          <w:rFonts w:ascii="仿宋" w:hAnsi="仿宋" w:eastAsia="仿宋" w:cs="仿宋"/>
          <w:sz w:val="28"/>
          <w:szCs w:val="28"/>
        </w:rPr>
        <w:t>52%</w:t>
      </w:r>
      <w:r>
        <w:rPr>
          <w:rFonts w:hint="eastAsia" w:ascii="仿宋" w:hAnsi="仿宋" w:eastAsia="仿宋" w:cs="仿宋"/>
          <w:sz w:val="28"/>
          <w:szCs w:val="28"/>
        </w:rPr>
        <w:t>。</w:t>
      </w:r>
    </w:p>
    <w:p>
      <w:pPr>
        <w:spacing w:line="560" w:lineRule="exact"/>
        <w:ind w:firstLine="31680" w:firstLineChars="200"/>
        <w:rPr>
          <w:rFonts w:ascii="仿宋" w:hAnsi="仿宋" w:eastAsia="仿宋" w:cs="Times New Roman"/>
          <w:sz w:val="28"/>
          <w:szCs w:val="28"/>
        </w:rPr>
      </w:pPr>
      <w:r>
        <w:rPr>
          <w:rFonts w:hint="eastAsia" w:ascii="仿宋" w:hAnsi="仿宋" w:eastAsia="仿宋" w:cs="仿宋"/>
          <w:sz w:val="28"/>
          <w:szCs w:val="28"/>
        </w:rPr>
        <w:t>中国铜精矿产消（产量和消费量）缺口不断扩大。未来几年，国内铜精矿的产消缺口还将持续扩大，对外依存度高的局面没有改善，进口仍是供应来源的主要渠道。</w:t>
      </w:r>
    </w:p>
    <w:p>
      <w:pPr>
        <w:spacing w:line="560" w:lineRule="exact"/>
        <w:ind w:firstLine="31680" w:firstLineChars="200"/>
        <w:rPr>
          <w:rFonts w:ascii="仿宋" w:hAnsi="仿宋" w:eastAsia="仿宋" w:cs="Times New Roman"/>
          <w:sz w:val="28"/>
          <w:szCs w:val="28"/>
        </w:rPr>
      </w:pPr>
      <w:r>
        <w:rPr>
          <w:rFonts w:hint="eastAsia" w:ascii="仿宋" w:hAnsi="仿宋" w:eastAsia="仿宋" w:cs="仿宋"/>
          <w:sz w:val="28"/>
          <w:szCs w:val="28"/>
        </w:rPr>
        <w:t>近年来中国的精铜消费增速明显放缓，但由于中国消费量基数大，维持低速增长也仍是全球精铜消费增长的主要力量。参照先行工业化国家铜消费达到峰值时的相关指标，通过对中国指标的预测和对比分析，评估中国铜消费正在接近但还没有达到峰值，而“碳达峰”、“碳中和”、“新基建”等概念和领域将</w:t>
      </w:r>
      <w:r>
        <w:rPr>
          <w:rFonts w:hint="eastAsia" w:eastAsia="仿宋" w:cs="仿宋"/>
          <w:sz w:val="28"/>
          <w:szCs w:val="28"/>
        </w:rPr>
        <w:t>用铜量出现较大增长，弥补因传统领域出现的铜消费下滑，从而推迟国内铜消费的达峰时间，并支撑铜消费量达峰后在高位平台运行一段时间。</w:t>
      </w:r>
    </w:p>
    <w:p>
      <w:pPr>
        <w:pStyle w:val="4"/>
        <w:spacing w:before="240" w:after="120" w:line="415" w:lineRule="auto"/>
        <w:rPr>
          <w:rFonts w:ascii="仿宋" w:hAnsi="仿宋" w:eastAsia="仿宋" w:cs="Times New Roman"/>
          <w:sz w:val="28"/>
          <w:szCs w:val="28"/>
        </w:rPr>
      </w:pPr>
      <w:bookmarkStart w:id="8" w:name="_Toc70684622"/>
      <w:r>
        <w:rPr>
          <w:rFonts w:ascii="仿宋" w:hAnsi="仿宋" w:eastAsia="仿宋" w:cs="仿宋"/>
          <w:sz w:val="28"/>
          <w:szCs w:val="28"/>
        </w:rPr>
        <w:t>3.</w:t>
      </w:r>
      <w:r>
        <w:rPr>
          <w:rFonts w:hint="eastAsia" w:ascii="仿宋" w:hAnsi="仿宋" w:eastAsia="仿宋" w:cs="仿宋"/>
          <w:sz w:val="28"/>
          <w:szCs w:val="28"/>
        </w:rPr>
        <w:t>国内外铜供需关系分析及预测</w:t>
      </w:r>
      <w:bookmarkEnd w:id="8"/>
    </w:p>
    <w:p>
      <w:pPr>
        <w:spacing w:line="560" w:lineRule="exact"/>
        <w:ind w:firstLine="31680" w:firstLineChars="200"/>
        <w:rPr>
          <w:rFonts w:ascii="仿宋" w:hAnsi="仿宋" w:eastAsia="仿宋" w:cs="Times New Roman"/>
          <w:sz w:val="28"/>
          <w:szCs w:val="28"/>
        </w:rPr>
      </w:pPr>
      <w:r>
        <w:rPr>
          <w:rFonts w:ascii="仿宋" w:hAnsi="仿宋" w:eastAsia="仿宋" w:cs="仿宋"/>
          <w:sz w:val="28"/>
          <w:szCs w:val="28"/>
        </w:rPr>
        <w:t>2017-2021</w:t>
      </w:r>
      <w:r>
        <w:rPr>
          <w:rFonts w:hint="eastAsia" w:ascii="仿宋" w:hAnsi="仿宋" w:eastAsia="仿宋" w:cs="仿宋"/>
          <w:sz w:val="28"/>
          <w:szCs w:val="28"/>
        </w:rPr>
        <w:t>年全球铜精矿市场从由此前的供应过剩转向供应短缺，其中</w:t>
      </w:r>
      <w:r>
        <w:rPr>
          <w:rFonts w:ascii="仿宋" w:hAnsi="仿宋" w:eastAsia="仿宋" w:cs="仿宋"/>
          <w:sz w:val="28"/>
          <w:szCs w:val="28"/>
        </w:rPr>
        <w:t>2020</w:t>
      </w:r>
      <w:r>
        <w:rPr>
          <w:rFonts w:hint="eastAsia" w:ascii="仿宋" w:hAnsi="仿宋" w:eastAsia="仿宋" w:cs="仿宋"/>
          <w:sz w:val="28"/>
          <w:szCs w:val="28"/>
        </w:rPr>
        <w:t>年因新冠疫情对铜精矿生产供应的影响大于需求，导致供应短缺量迅速扩大。预计</w:t>
      </w:r>
      <w:r>
        <w:rPr>
          <w:rFonts w:ascii="仿宋" w:hAnsi="仿宋" w:eastAsia="仿宋" w:cs="仿宋"/>
          <w:sz w:val="28"/>
          <w:szCs w:val="28"/>
        </w:rPr>
        <w:t>2021-2025</w:t>
      </w:r>
      <w:r>
        <w:rPr>
          <w:rFonts w:hint="eastAsia" w:ascii="仿宋" w:hAnsi="仿宋" w:eastAsia="仿宋" w:cs="仿宋"/>
          <w:sz w:val="28"/>
          <w:szCs w:val="28"/>
        </w:rPr>
        <w:t>年期间，本轮矿业投资项目产能逐步释放，铜精矿产量保持增长趋势，同时铜冶炼产能扩张速度放缓，</w:t>
      </w:r>
      <w:r>
        <w:rPr>
          <w:rFonts w:hint="eastAsia" w:hAnsi="Arial" w:eastAsia="华文仿宋" w:cs="华文仿宋"/>
          <w:sz w:val="28"/>
          <w:szCs w:val="28"/>
        </w:rPr>
        <w:t>全球</w:t>
      </w:r>
      <w:r>
        <w:rPr>
          <w:rFonts w:hint="eastAsia" w:ascii="仿宋" w:hAnsi="仿宋" w:eastAsia="仿宋" w:cs="仿宋"/>
          <w:sz w:val="28"/>
          <w:szCs w:val="28"/>
        </w:rPr>
        <w:t>铜精矿供应有望从短缺逐步趋向紧平衡状态，并在</w:t>
      </w:r>
      <w:r>
        <w:rPr>
          <w:rFonts w:ascii="仿宋" w:hAnsi="仿宋" w:eastAsia="仿宋" w:cs="仿宋"/>
          <w:sz w:val="28"/>
          <w:szCs w:val="28"/>
        </w:rPr>
        <w:t>2025</w:t>
      </w:r>
      <w:r>
        <w:rPr>
          <w:rFonts w:hint="eastAsia" w:ascii="仿宋" w:hAnsi="仿宋" w:eastAsia="仿宋" w:cs="仿宋"/>
          <w:sz w:val="28"/>
          <w:szCs w:val="28"/>
        </w:rPr>
        <w:t>年重新出现小幅过剩。</w:t>
      </w:r>
    </w:p>
    <w:p>
      <w:pPr>
        <w:spacing w:beforeLines="50"/>
        <w:jc w:val="center"/>
        <w:rPr>
          <w:rFonts w:ascii="黑体" w:hAnsi="黑体" w:eastAsia="黑体" w:cs="Times New Roman"/>
        </w:rPr>
      </w:pPr>
      <w:r>
        <w:rPr>
          <w:rFonts w:hint="eastAsia" w:ascii="黑体" w:hAnsi="黑体" w:eastAsia="黑体" w:cs="黑体"/>
        </w:rPr>
        <w:t>表</w:t>
      </w:r>
      <w:r>
        <w:rPr>
          <w:rFonts w:ascii="黑体" w:hAnsi="黑体" w:eastAsia="黑体" w:cs="黑体"/>
        </w:rPr>
        <w:t>2-1  2016-2025</w:t>
      </w:r>
      <w:r>
        <w:rPr>
          <w:rFonts w:hint="eastAsia" w:ascii="黑体" w:hAnsi="黑体" w:eastAsia="黑体" w:cs="黑体"/>
        </w:rPr>
        <w:t>年全球铜精矿供需平衡及预测（单位：万吨铜）</w:t>
      </w:r>
    </w:p>
    <w:tbl>
      <w:tblPr>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
      <w:tblGrid>
        <w:gridCol w:w="1551"/>
        <w:gridCol w:w="1549"/>
        <w:gridCol w:w="1547"/>
        <w:gridCol w:w="1547"/>
        <w:gridCol w:w="1547"/>
        <w:gridCol w:w="1545"/>
      </w:tblGrid>
      <w:tr>
        <w:trPr>
          <w:trHeight w:val="70" w:hRule="atLeast"/>
          <w:jc w:val="center"/>
        </w:trPr>
        <w:tc>
          <w:tcPr>
            <w:tcW w:w="1551" w:type="dxa"/>
            <w:shd w:val="clear" w:color="auto" w:fill="D9D9D9"/>
            <w:vAlign w:val="center"/>
          </w:tcPr>
          <w:p>
            <w:pPr>
              <w:spacing w:line="280" w:lineRule="exact"/>
              <w:jc w:val="center"/>
              <w:rPr>
                <w:rFonts w:ascii="宋体" w:cs="Times New Roman"/>
                <w:b/>
                <w:bCs/>
                <w:u w:val="single"/>
              </w:rPr>
            </w:pPr>
          </w:p>
        </w:tc>
        <w:tc>
          <w:tcPr>
            <w:tcW w:w="1549" w:type="dxa"/>
            <w:shd w:val="clear" w:color="auto" w:fill="D9D9D9"/>
            <w:vAlign w:val="center"/>
          </w:tcPr>
          <w:p>
            <w:pPr>
              <w:spacing w:line="280" w:lineRule="exact"/>
              <w:jc w:val="center"/>
              <w:rPr>
                <w:rFonts w:ascii="宋体" w:hAnsi="宋体" w:cs="宋体"/>
                <w:b/>
                <w:bCs/>
                <w:u w:val="single"/>
              </w:rPr>
            </w:pPr>
            <w:r>
              <w:rPr>
                <w:rFonts w:ascii="宋体" w:hAnsi="宋体" w:cs="宋体"/>
                <w:b/>
                <w:bCs/>
                <w:u w:val="single"/>
              </w:rPr>
              <w:t>2016</w:t>
            </w:r>
          </w:p>
        </w:tc>
        <w:tc>
          <w:tcPr>
            <w:tcW w:w="1547" w:type="dxa"/>
            <w:shd w:val="clear" w:color="auto" w:fill="D9D9D9"/>
            <w:vAlign w:val="center"/>
          </w:tcPr>
          <w:p>
            <w:pPr>
              <w:spacing w:line="280" w:lineRule="exact"/>
              <w:jc w:val="center"/>
              <w:rPr>
                <w:rFonts w:ascii="宋体" w:hAnsi="宋体" w:cs="宋体"/>
                <w:b/>
                <w:bCs/>
                <w:u w:val="single"/>
              </w:rPr>
            </w:pPr>
            <w:r>
              <w:rPr>
                <w:rFonts w:ascii="宋体" w:hAnsi="宋体" w:cs="宋体"/>
                <w:b/>
                <w:bCs/>
                <w:u w:val="single"/>
              </w:rPr>
              <w:t>2017</w:t>
            </w:r>
          </w:p>
        </w:tc>
        <w:tc>
          <w:tcPr>
            <w:tcW w:w="1547" w:type="dxa"/>
            <w:shd w:val="clear" w:color="auto" w:fill="D9D9D9"/>
            <w:vAlign w:val="center"/>
          </w:tcPr>
          <w:p>
            <w:pPr>
              <w:spacing w:line="280" w:lineRule="exact"/>
              <w:jc w:val="center"/>
              <w:rPr>
                <w:rFonts w:ascii="宋体" w:hAnsi="宋体" w:cs="宋体"/>
                <w:b/>
                <w:bCs/>
                <w:u w:val="single"/>
              </w:rPr>
            </w:pPr>
            <w:r>
              <w:rPr>
                <w:rFonts w:ascii="宋体" w:hAnsi="宋体" w:cs="宋体"/>
                <w:b/>
                <w:bCs/>
                <w:u w:val="single"/>
              </w:rPr>
              <w:t>2018</w:t>
            </w:r>
          </w:p>
        </w:tc>
        <w:tc>
          <w:tcPr>
            <w:tcW w:w="1547" w:type="dxa"/>
            <w:shd w:val="clear" w:color="auto" w:fill="D9D9D9"/>
            <w:vAlign w:val="center"/>
          </w:tcPr>
          <w:p>
            <w:pPr>
              <w:spacing w:line="280" w:lineRule="exact"/>
              <w:jc w:val="center"/>
              <w:rPr>
                <w:rFonts w:ascii="宋体" w:hAnsi="宋体" w:cs="宋体"/>
                <w:b/>
                <w:bCs/>
                <w:u w:val="single"/>
              </w:rPr>
            </w:pPr>
            <w:r>
              <w:rPr>
                <w:rFonts w:ascii="宋体" w:hAnsi="宋体" w:cs="宋体"/>
                <w:b/>
                <w:bCs/>
                <w:u w:val="single"/>
              </w:rPr>
              <w:t>2019</w:t>
            </w:r>
          </w:p>
        </w:tc>
        <w:tc>
          <w:tcPr>
            <w:tcW w:w="1545" w:type="dxa"/>
            <w:shd w:val="clear" w:color="auto" w:fill="D9D9D9"/>
            <w:vAlign w:val="top"/>
          </w:tcPr>
          <w:p>
            <w:pPr>
              <w:spacing w:line="280" w:lineRule="exact"/>
              <w:jc w:val="center"/>
              <w:rPr>
                <w:rFonts w:ascii="宋体" w:hAnsi="宋体" w:cs="宋体"/>
                <w:b/>
                <w:bCs/>
                <w:u w:val="single"/>
              </w:rPr>
            </w:pPr>
            <w:r>
              <w:rPr>
                <w:rFonts w:ascii="宋体" w:hAnsi="宋体" w:cs="宋体"/>
                <w:b/>
                <w:bCs/>
                <w:u w:val="single"/>
              </w:rPr>
              <w:t>2020</w:t>
            </w:r>
          </w:p>
        </w:tc>
      </w:tr>
      <w:tr>
        <w:trPr>
          <w:trHeight w:val="83" w:hRule="atLeast"/>
          <w:jc w:val="center"/>
        </w:trPr>
        <w:tc>
          <w:tcPr>
            <w:tcW w:w="1551" w:type="dxa"/>
            <w:shd w:val="clear" w:color="auto" w:fill="FFFFFF"/>
            <w:vAlign w:val="center"/>
          </w:tcPr>
          <w:p>
            <w:pPr>
              <w:spacing w:line="280" w:lineRule="exact"/>
              <w:jc w:val="center"/>
              <w:rPr>
                <w:rFonts w:ascii="宋体" w:cs="Times New Roman"/>
              </w:rPr>
            </w:pPr>
            <w:r>
              <w:rPr>
                <w:rFonts w:hint="eastAsia" w:ascii="宋体" w:hAnsi="宋体" w:cs="宋体"/>
              </w:rPr>
              <w:t>产量</w:t>
            </w:r>
          </w:p>
        </w:tc>
        <w:tc>
          <w:tcPr>
            <w:tcW w:w="1549" w:type="dxa"/>
            <w:shd w:val="clear" w:color="auto" w:fill="FFFFFF"/>
            <w:vAlign w:val="center"/>
          </w:tcPr>
          <w:p>
            <w:pPr>
              <w:spacing w:line="280" w:lineRule="exact"/>
              <w:jc w:val="center"/>
              <w:rPr>
                <w:rFonts w:ascii="宋体" w:hAnsi="宋体" w:cs="宋体"/>
              </w:rPr>
            </w:pPr>
            <w:r>
              <w:rPr>
                <w:rFonts w:ascii="宋体" w:hAnsi="宋体" w:cs="宋体"/>
              </w:rPr>
              <w:t>1641</w:t>
            </w:r>
          </w:p>
        </w:tc>
        <w:tc>
          <w:tcPr>
            <w:tcW w:w="1547" w:type="dxa"/>
            <w:shd w:val="clear" w:color="auto" w:fill="FFFFFF"/>
            <w:vAlign w:val="center"/>
          </w:tcPr>
          <w:p>
            <w:pPr>
              <w:spacing w:line="280" w:lineRule="exact"/>
              <w:jc w:val="center"/>
              <w:rPr>
                <w:rFonts w:ascii="宋体" w:hAnsi="宋体" w:cs="宋体"/>
              </w:rPr>
            </w:pPr>
            <w:r>
              <w:rPr>
                <w:rFonts w:ascii="宋体" w:hAnsi="宋体" w:cs="宋体"/>
              </w:rPr>
              <w:t>1638</w:t>
            </w:r>
          </w:p>
        </w:tc>
        <w:tc>
          <w:tcPr>
            <w:tcW w:w="1547" w:type="dxa"/>
            <w:shd w:val="clear" w:color="auto" w:fill="FFFFFF"/>
            <w:vAlign w:val="center"/>
          </w:tcPr>
          <w:p>
            <w:pPr>
              <w:spacing w:line="280" w:lineRule="exact"/>
              <w:jc w:val="center"/>
              <w:rPr>
                <w:rFonts w:ascii="宋体" w:hAnsi="宋体" w:cs="宋体"/>
              </w:rPr>
            </w:pPr>
            <w:r>
              <w:rPr>
                <w:rFonts w:ascii="宋体" w:hAnsi="宋体" w:cs="宋体"/>
              </w:rPr>
              <w:t>1687</w:t>
            </w:r>
          </w:p>
        </w:tc>
        <w:tc>
          <w:tcPr>
            <w:tcW w:w="1547" w:type="dxa"/>
            <w:shd w:val="clear" w:color="auto" w:fill="FFFFFF"/>
            <w:vAlign w:val="center"/>
          </w:tcPr>
          <w:p>
            <w:pPr>
              <w:spacing w:line="280" w:lineRule="exact"/>
              <w:jc w:val="center"/>
              <w:rPr>
                <w:rFonts w:ascii="宋体" w:hAnsi="宋体" w:cs="宋体"/>
              </w:rPr>
            </w:pPr>
            <w:r>
              <w:rPr>
                <w:rFonts w:ascii="宋体" w:hAnsi="宋体" w:cs="宋体"/>
              </w:rPr>
              <w:t>1696</w:t>
            </w:r>
          </w:p>
        </w:tc>
        <w:tc>
          <w:tcPr>
            <w:tcW w:w="1545" w:type="dxa"/>
            <w:shd w:val="clear" w:color="auto" w:fill="FFFFFF"/>
            <w:vAlign w:val="center"/>
          </w:tcPr>
          <w:p>
            <w:pPr>
              <w:spacing w:line="280" w:lineRule="exact"/>
              <w:jc w:val="center"/>
              <w:rPr>
                <w:rFonts w:ascii="宋体" w:hAnsi="宋体" w:cs="宋体"/>
              </w:rPr>
            </w:pPr>
            <w:r>
              <w:rPr>
                <w:rFonts w:ascii="宋体" w:hAnsi="宋体" w:cs="宋体"/>
              </w:rPr>
              <w:t>1684</w:t>
            </w:r>
          </w:p>
        </w:tc>
      </w:tr>
      <w:tr>
        <w:trPr>
          <w:trHeight w:val="285" w:hRule="atLeast"/>
          <w:jc w:val="center"/>
        </w:trPr>
        <w:tc>
          <w:tcPr>
            <w:tcW w:w="1551" w:type="dxa"/>
            <w:shd w:val="clear" w:color="auto" w:fill="FFFFFF"/>
            <w:vAlign w:val="center"/>
          </w:tcPr>
          <w:p>
            <w:pPr>
              <w:spacing w:line="280" w:lineRule="exact"/>
              <w:jc w:val="center"/>
              <w:rPr>
                <w:rFonts w:ascii="宋体" w:cs="Times New Roman"/>
              </w:rPr>
            </w:pPr>
            <w:r>
              <w:rPr>
                <w:rFonts w:hint="eastAsia" w:ascii="宋体" w:hAnsi="宋体" w:cs="宋体"/>
              </w:rPr>
              <w:t>消费量</w:t>
            </w:r>
          </w:p>
        </w:tc>
        <w:tc>
          <w:tcPr>
            <w:tcW w:w="1549" w:type="dxa"/>
            <w:shd w:val="clear" w:color="auto" w:fill="FFFFFF"/>
            <w:vAlign w:val="center"/>
          </w:tcPr>
          <w:p>
            <w:pPr>
              <w:spacing w:line="280" w:lineRule="exact"/>
              <w:jc w:val="center"/>
              <w:rPr>
                <w:rFonts w:ascii="宋体" w:hAnsi="宋体" w:cs="宋体"/>
              </w:rPr>
            </w:pPr>
            <w:r>
              <w:rPr>
                <w:rFonts w:ascii="宋体" w:hAnsi="宋体" w:cs="宋体"/>
              </w:rPr>
              <w:t>1608</w:t>
            </w:r>
          </w:p>
        </w:tc>
        <w:tc>
          <w:tcPr>
            <w:tcW w:w="1547" w:type="dxa"/>
            <w:shd w:val="clear" w:color="auto" w:fill="FFFFFF"/>
            <w:vAlign w:val="center"/>
          </w:tcPr>
          <w:p>
            <w:pPr>
              <w:spacing w:line="280" w:lineRule="exact"/>
              <w:jc w:val="center"/>
              <w:rPr>
                <w:rFonts w:ascii="宋体" w:hAnsi="宋体" w:cs="宋体"/>
              </w:rPr>
            </w:pPr>
            <w:r>
              <w:rPr>
                <w:rFonts w:ascii="宋体" w:hAnsi="宋体" w:cs="宋体"/>
              </w:rPr>
              <w:t>1642</w:t>
            </w:r>
          </w:p>
        </w:tc>
        <w:tc>
          <w:tcPr>
            <w:tcW w:w="1547" w:type="dxa"/>
            <w:shd w:val="clear" w:color="auto" w:fill="FFFFFF"/>
            <w:vAlign w:val="center"/>
          </w:tcPr>
          <w:p>
            <w:pPr>
              <w:spacing w:line="280" w:lineRule="exact"/>
              <w:jc w:val="center"/>
              <w:rPr>
                <w:rFonts w:ascii="宋体" w:hAnsi="宋体" w:cs="宋体"/>
              </w:rPr>
            </w:pPr>
            <w:r>
              <w:rPr>
                <w:rFonts w:ascii="宋体" w:hAnsi="宋体" w:cs="宋体"/>
              </w:rPr>
              <w:t>1682</w:t>
            </w:r>
          </w:p>
        </w:tc>
        <w:tc>
          <w:tcPr>
            <w:tcW w:w="1547" w:type="dxa"/>
            <w:shd w:val="clear" w:color="auto" w:fill="FFFFFF"/>
            <w:vAlign w:val="center"/>
          </w:tcPr>
          <w:p>
            <w:pPr>
              <w:spacing w:line="280" w:lineRule="exact"/>
              <w:jc w:val="center"/>
              <w:rPr>
                <w:rFonts w:ascii="宋体" w:hAnsi="宋体" w:cs="宋体"/>
              </w:rPr>
            </w:pPr>
            <w:r>
              <w:rPr>
                <w:rFonts w:ascii="宋体" w:hAnsi="宋体" w:cs="宋体"/>
              </w:rPr>
              <w:t>1711</w:t>
            </w:r>
          </w:p>
        </w:tc>
        <w:tc>
          <w:tcPr>
            <w:tcW w:w="1545" w:type="dxa"/>
            <w:shd w:val="clear" w:color="auto" w:fill="FFFFFF"/>
            <w:vAlign w:val="center"/>
          </w:tcPr>
          <w:p>
            <w:pPr>
              <w:spacing w:line="280" w:lineRule="exact"/>
              <w:jc w:val="center"/>
              <w:rPr>
                <w:rFonts w:ascii="宋体" w:hAnsi="宋体" w:cs="宋体"/>
              </w:rPr>
            </w:pPr>
            <w:r>
              <w:rPr>
                <w:rFonts w:ascii="宋体" w:hAnsi="宋体" w:cs="宋体"/>
              </w:rPr>
              <w:t>1728</w:t>
            </w:r>
          </w:p>
        </w:tc>
      </w:tr>
      <w:tr>
        <w:trPr>
          <w:trHeight w:val="285" w:hRule="atLeast"/>
          <w:jc w:val="center"/>
        </w:trPr>
        <w:tc>
          <w:tcPr>
            <w:tcW w:w="1551" w:type="dxa"/>
            <w:shd w:val="clear" w:color="auto" w:fill="FFFFFF"/>
            <w:vAlign w:val="center"/>
          </w:tcPr>
          <w:p>
            <w:pPr>
              <w:spacing w:line="280" w:lineRule="exact"/>
              <w:jc w:val="center"/>
              <w:rPr>
                <w:rFonts w:ascii="宋体" w:cs="Times New Roman"/>
                <w:b/>
                <w:bCs/>
              </w:rPr>
            </w:pPr>
            <w:r>
              <w:rPr>
                <w:rFonts w:hint="eastAsia" w:ascii="宋体" w:hAnsi="宋体" w:cs="宋体"/>
                <w:b/>
                <w:bCs/>
              </w:rPr>
              <w:t>供需平衡</w:t>
            </w:r>
          </w:p>
        </w:tc>
        <w:tc>
          <w:tcPr>
            <w:tcW w:w="1549" w:type="dxa"/>
            <w:shd w:val="clear" w:color="auto" w:fill="FFFFFF"/>
            <w:vAlign w:val="center"/>
          </w:tcPr>
          <w:p>
            <w:pPr>
              <w:spacing w:line="280" w:lineRule="exact"/>
              <w:jc w:val="center"/>
              <w:rPr>
                <w:rFonts w:ascii="宋体" w:hAnsi="宋体" w:cs="宋体"/>
                <w:b/>
                <w:bCs/>
              </w:rPr>
            </w:pPr>
            <w:r>
              <w:rPr>
                <w:rFonts w:ascii="宋体" w:hAnsi="宋体" w:cs="宋体"/>
                <w:b/>
                <w:bCs/>
              </w:rPr>
              <w:t>33</w:t>
            </w:r>
          </w:p>
        </w:tc>
        <w:tc>
          <w:tcPr>
            <w:tcW w:w="1547" w:type="dxa"/>
            <w:shd w:val="clear" w:color="auto" w:fill="FFFFFF"/>
            <w:vAlign w:val="center"/>
          </w:tcPr>
          <w:p>
            <w:pPr>
              <w:spacing w:line="280" w:lineRule="exact"/>
              <w:jc w:val="center"/>
              <w:rPr>
                <w:rFonts w:ascii="宋体" w:hAnsi="宋体" w:cs="宋体"/>
                <w:b/>
                <w:bCs/>
              </w:rPr>
            </w:pPr>
            <w:r>
              <w:rPr>
                <w:rFonts w:ascii="宋体" w:hAnsi="宋体" w:cs="宋体"/>
                <w:b/>
                <w:bCs/>
              </w:rPr>
              <w:t>-4</w:t>
            </w:r>
          </w:p>
        </w:tc>
        <w:tc>
          <w:tcPr>
            <w:tcW w:w="1547" w:type="dxa"/>
            <w:shd w:val="clear" w:color="auto" w:fill="FFFFFF"/>
            <w:vAlign w:val="center"/>
          </w:tcPr>
          <w:p>
            <w:pPr>
              <w:spacing w:line="280" w:lineRule="exact"/>
              <w:jc w:val="center"/>
              <w:rPr>
                <w:rFonts w:ascii="宋体" w:hAnsi="宋体" w:cs="宋体"/>
                <w:b/>
                <w:bCs/>
              </w:rPr>
            </w:pPr>
            <w:r>
              <w:rPr>
                <w:rFonts w:ascii="宋体" w:hAnsi="宋体" w:cs="宋体"/>
                <w:b/>
                <w:bCs/>
              </w:rPr>
              <w:t>5</w:t>
            </w:r>
          </w:p>
        </w:tc>
        <w:tc>
          <w:tcPr>
            <w:tcW w:w="1547" w:type="dxa"/>
            <w:shd w:val="clear" w:color="auto" w:fill="FFFFFF"/>
            <w:vAlign w:val="center"/>
          </w:tcPr>
          <w:p>
            <w:pPr>
              <w:spacing w:line="280" w:lineRule="exact"/>
              <w:jc w:val="center"/>
              <w:rPr>
                <w:rFonts w:ascii="宋体" w:hAnsi="宋体" w:cs="宋体"/>
                <w:b/>
                <w:bCs/>
              </w:rPr>
            </w:pPr>
            <w:r>
              <w:rPr>
                <w:rFonts w:ascii="宋体" w:hAnsi="宋体" w:cs="宋体"/>
                <w:b/>
                <w:bCs/>
              </w:rPr>
              <w:t>-15</w:t>
            </w:r>
          </w:p>
        </w:tc>
        <w:tc>
          <w:tcPr>
            <w:tcW w:w="1545" w:type="dxa"/>
            <w:shd w:val="clear" w:color="auto" w:fill="FFFFFF"/>
            <w:vAlign w:val="center"/>
          </w:tcPr>
          <w:p>
            <w:pPr>
              <w:spacing w:line="280" w:lineRule="exact"/>
              <w:jc w:val="center"/>
              <w:rPr>
                <w:rFonts w:ascii="宋体" w:hAnsi="宋体" w:cs="宋体"/>
                <w:b/>
                <w:bCs/>
              </w:rPr>
            </w:pPr>
            <w:r>
              <w:rPr>
                <w:rFonts w:ascii="宋体" w:hAnsi="宋体" w:cs="宋体"/>
                <w:b/>
                <w:bCs/>
              </w:rPr>
              <w:t>-44</w:t>
            </w:r>
          </w:p>
        </w:tc>
      </w:tr>
      <w:tr>
        <w:trPr>
          <w:trHeight w:val="285" w:hRule="atLeast"/>
          <w:jc w:val="center"/>
        </w:trPr>
        <w:tc>
          <w:tcPr>
            <w:tcW w:w="1551" w:type="dxa"/>
            <w:shd w:val="clear" w:color="auto" w:fill="D9D9D9"/>
            <w:vAlign w:val="center"/>
          </w:tcPr>
          <w:p>
            <w:pPr>
              <w:spacing w:line="280" w:lineRule="exact"/>
              <w:jc w:val="center"/>
              <w:rPr>
                <w:rFonts w:ascii="宋体" w:cs="Times New Roman"/>
              </w:rPr>
            </w:pPr>
          </w:p>
        </w:tc>
        <w:tc>
          <w:tcPr>
            <w:tcW w:w="1549" w:type="dxa"/>
            <w:shd w:val="clear" w:color="auto" w:fill="D9D9D9"/>
            <w:vAlign w:val="center"/>
          </w:tcPr>
          <w:p>
            <w:pPr>
              <w:spacing w:line="280" w:lineRule="exact"/>
              <w:jc w:val="center"/>
              <w:rPr>
                <w:rFonts w:ascii="宋体" w:hAnsi="宋体" w:cs="宋体"/>
                <w:b/>
                <w:bCs/>
                <w:u w:val="single"/>
              </w:rPr>
            </w:pPr>
            <w:r>
              <w:rPr>
                <w:rFonts w:ascii="宋体" w:hAnsi="宋体" w:cs="宋体"/>
                <w:b/>
                <w:bCs/>
                <w:u w:val="single"/>
              </w:rPr>
              <w:t>2021</w:t>
            </w:r>
          </w:p>
        </w:tc>
        <w:tc>
          <w:tcPr>
            <w:tcW w:w="1547" w:type="dxa"/>
            <w:shd w:val="clear" w:color="auto" w:fill="D9D9D9"/>
            <w:vAlign w:val="center"/>
          </w:tcPr>
          <w:p>
            <w:pPr>
              <w:spacing w:line="280" w:lineRule="exact"/>
              <w:jc w:val="center"/>
              <w:rPr>
                <w:rFonts w:ascii="宋体" w:hAnsi="宋体" w:cs="宋体"/>
                <w:b/>
                <w:bCs/>
                <w:u w:val="single"/>
              </w:rPr>
            </w:pPr>
            <w:r>
              <w:rPr>
                <w:rFonts w:ascii="宋体" w:hAnsi="宋体" w:cs="宋体"/>
                <w:b/>
                <w:bCs/>
                <w:u w:val="single"/>
              </w:rPr>
              <w:t>2022</w:t>
            </w:r>
          </w:p>
        </w:tc>
        <w:tc>
          <w:tcPr>
            <w:tcW w:w="1547" w:type="dxa"/>
            <w:shd w:val="clear" w:color="auto" w:fill="D9D9D9"/>
            <w:vAlign w:val="center"/>
          </w:tcPr>
          <w:p>
            <w:pPr>
              <w:spacing w:line="280" w:lineRule="exact"/>
              <w:jc w:val="center"/>
              <w:rPr>
                <w:rFonts w:ascii="宋体" w:hAnsi="宋体" w:cs="宋体"/>
                <w:b/>
                <w:bCs/>
                <w:u w:val="single"/>
              </w:rPr>
            </w:pPr>
            <w:r>
              <w:rPr>
                <w:rFonts w:ascii="宋体" w:hAnsi="宋体" w:cs="宋体"/>
                <w:b/>
                <w:bCs/>
                <w:u w:val="single"/>
              </w:rPr>
              <w:t>2023</w:t>
            </w:r>
          </w:p>
        </w:tc>
        <w:tc>
          <w:tcPr>
            <w:tcW w:w="1547" w:type="dxa"/>
            <w:shd w:val="clear" w:color="auto" w:fill="D9D9D9"/>
            <w:vAlign w:val="center"/>
          </w:tcPr>
          <w:p>
            <w:pPr>
              <w:spacing w:line="280" w:lineRule="exact"/>
              <w:jc w:val="center"/>
              <w:rPr>
                <w:rFonts w:ascii="宋体" w:hAnsi="宋体" w:cs="宋体"/>
                <w:b/>
                <w:bCs/>
                <w:u w:val="single"/>
              </w:rPr>
            </w:pPr>
            <w:r>
              <w:rPr>
                <w:rFonts w:ascii="宋体" w:hAnsi="宋体" w:cs="宋体"/>
                <w:b/>
                <w:bCs/>
                <w:u w:val="single"/>
              </w:rPr>
              <w:t>2024</w:t>
            </w:r>
          </w:p>
        </w:tc>
        <w:tc>
          <w:tcPr>
            <w:tcW w:w="1545" w:type="dxa"/>
            <w:shd w:val="clear" w:color="auto" w:fill="D9D9D9"/>
            <w:vAlign w:val="top"/>
          </w:tcPr>
          <w:p>
            <w:pPr>
              <w:spacing w:line="280" w:lineRule="exact"/>
              <w:jc w:val="center"/>
              <w:rPr>
                <w:rFonts w:ascii="宋体" w:hAnsi="宋体" w:cs="宋体"/>
                <w:b/>
                <w:bCs/>
                <w:u w:val="single"/>
              </w:rPr>
            </w:pPr>
            <w:r>
              <w:rPr>
                <w:rFonts w:ascii="宋体" w:hAnsi="宋体" w:cs="宋体"/>
                <w:b/>
                <w:bCs/>
                <w:u w:val="single"/>
              </w:rPr>
              <w:t>2025</w:t>
            </w:r>
          </w:p>
        </w:tc>
      </w:tr>
      <w:tr>
        <w:trPr>
          <w:trHeight w:val="285" w:hRule="atLeast"/>
          <w:jc w:val="center"/>
        </w:trPr>
        <w:tc>
          <w:tcPr>
            <w:tcW w:w="1551" w:type="dxa"/>
            <w:shd w:val="clear" w:color="auto" w:fill="FFFFFF"/>
            <w:vAlign w:val="center"/>
          </w:tcPr>
          <w:p>
            <w:pPr>
              <w:spacing w:line="280" w:lineRule="exact"/>
              <w:jc w:val="center"/>
              <w:rPr>
                <w:rFonts w:ascii="宋体" w:cs="Times New Roman"/>
              </w:rPr>
            </w:pPr>
            <w:r>
              <w:rPr>
                <w:rFonts w:hint="eastAsia" w:ascii="宋体" w:hAnsi="宋体" w:cs="宋体"/>
              </w:rPr>
              <w:t>产量</w:t>
            </w:r>
          </w:p>
        </w:tc>
        <w:tc>
          <w:tcPr>
            <w:tcW w:w="1549" w:type="dxa"/>
            <w:shd w:val="clear" w:color="auto" w:fill="FFFFFF"/>
            <w:vAlign w:val="center"/>
          </w:tcPr>
          <w:p>
            <w:pPr>
              <w:spacing w:line="280" w:lineRule="exact"/>
              <w:jc w:val="center"/>
              <w:rPr>
                <w:rFonts w:ascii="宋体" w:hAnsi="宋体" w:cs="宋体"/>
              </w:rPr>
            </w:pPr>
            <w:r>
              <w:rPr>
                <w:rFonts w:ascii="宋体" w:hAnsi="宋体" w:cs="宋体"/>
              </w:rPr>
              <w:t>1771</w:t>
            </w:r>
          </w:p>
        </w:tc>
        <w:tc>
          <w:tcPr>
            <w:tcW w:w="1547" w:type="dxa"/>
            <w:shd w:val="clear" w:color="auto" w:fill="FFFFFF"/>
            <w:vAlign w:val="center"/>
          </w:tcPr>
          <w:p>
            <w:pPr>
              <w:spacing w:line="280" w:lineRule="exact"/>
              <w:jc w:val="center"/>
              <w:rPr>
                <w:rFonts w:ascii="宋体" w:hAnsi="宋体" w:cs="宋体"/>
              </w:rPr>
            </w:pPr>
            <w:r>
              <w:rPr>
                <w:rFonts w:ascii="宋体" w:hAnsi="宋体" w:cs="宋体"/>
              </w:rPr>
              <w:t>1821</w:t>
            </w:r>
          </w:p>
        </w:tc>
        <w:tc>
          <w:tcPr>
            <w:tcW w:w="1547" w:type="dxa"/>
            <w:shd w:val="clear" w:color="auto" w:fill="FFFFFF"/>
            <w:vAlign w:val="center"/>
          </w:tcPr>
          <w:p>
            <w:pPr>
              <w:spacing w:line="280" w:lineRule="exact"/>
              <w:jc w:val="center"/>
              <w:rPr>
                <w:rFonts w:ascii="宋体" w:hAnsi="宋体" w:cs="宋体"/>
              </w:rPr>
            </w:pPr>
            <w:r>
              <w:rPr>
                <w:rFonts w:ascii="宋体" w:hAnsi="宋体" w:cs="宋体"/>
              </w:rPr>
              <w:t>1866</w:t>
            </w:r>
          </w:p>
        </w:tc>
        <w:tc>
          <w:tcPr>
            <w:tcW w:w="1547" w:type="dxa"/>
            <w:shd w:val="clear" w:color="auto" w:fill="FFFFFF"/>
            <w:vAlign w:val="center"/>
          </w:tcPr>
          <w:p>
            <w:pPr>
              <w:spacing w:line="280" w:lineRule="exact"/>
              <w:jc w:val="center"/>
              <w:rPr>
                <w:rFonts w:ascii="宋体" w:hAnsi="宋体" w:cs="宋体"/>
              </w:rPr>
            </w:pPr>
            <w:r>
              <w:rPr>
                <w:rFonts w:ascii="宋体" w:hAnsi="宋体" w:cs="宋体"/>
              </w:rPr>
              <w:t>1921</w:t>
            </w:r>
          </w:p>
        </w:tc>
        <w:tc>
          <w:tcPr>
            <w:tcW w:w="1545" w:type="dxa"/>
            <w:shd w:val="clear" w:color="auto" w:fill="FFFFFF"/>
            <w:vAlign w:val="center"/>
          </w:tcPr>
          <w:p>
            <w:pPr>
              <w:spacing w:line="280" w:lineRule="exact"/>
              <w:jc w:val="center"/>
              <w:rPr>
                <w:rFonts w:ascii="宋体" w:hAnsi="宋体" w:cs="宋体"/>
              </w:rPr>
            </w:pPr>
            <w:r>
              <w:rPr>
                <w:rFonts w:ascii="宋体" w:hAnsi="宋体" w:cs="宋体"/>
              </w:rPr>
              <w:t>1977</w:t>
            </w:r>
          </w:p>
        </w:tc>
      </w:tr>
      <w:tr>
        <w:trPr>
          <w:trHeight w:val="285" w:hRule="atLeast"/>
          <w:jc w:val="center"/>
        </w:trPr>
        <w:tc>
          <w:tcPr>
            <w:tcW w:w="1551" w:type="dxa"/>
            <w:shd w:val="clear" w:color="auto" w:fill="FFFFFF"/>
            <w:vAlign w:val="center"/>
          </w:tcPr>
          <w:p>
            <w:pPr>
              <w:spacing w:line="280" w:lineRule="exact"/>
              <w:jc w:val="center"/>
              <w:rPr>
                <w:rFonts w:ascii="宋体" w:cs="Times New Roman"/>
              </w:rPr>
            </w:pPr>
            <w:r>
              <w:rPr>
                <w:rFonts w:hint="eastAsia" w:ascii="宋体" w:hAnsi="宋体" w:cs="宋体"/>
              </w:rPr>
              <w:t>消费量</w:t>
            </w:r>
          </w:p>
        </w:tc>
        <w:tc>
          <w:tcPr>
            <w:tcW w:w="1549" w:type="dxa"/>
            <w:shd w:val="clear" w:color="auto" w:fill="FFFFFF"/>
            <w:vAlign w:val="center"/>
          </w:tcPr>
          <w:p>
            <w:pPr>
              <w:spacing w:line="280" w:lineRule="exact"/>
              <w:jc w:val="center"/>
              <w:rPr>
                <w:rFonts w:ascii="宋体" w:hAnsi="宋体" w:cs="宋体"/>
              </w:rPr>
            </w:pPr>
            <w:r>
              <w:rPr>
                <w:rFonts w:ascii="宋体" w:hAnsi="宋体" w:cs="宋体"/>
              </w:rPr>
              <w:t>1806</w:t>
            </w:r>
          </w:p>
        </w:tc>
        <w:tc>
          <w:tcPr>
            <w:tcW w:w="1547" w:type="dxa"/>
            <w:shd w:val="clear" w:color="auto" w:fill="FFFFFF"/>
            <w:vAlign w:val="center"/>
          </w:tcPr>
          <w:p>
            <w:pPr>
              <w:spacing w:line="280" w:lineRule="exact"/>
              <w:jc w:val="center"/>
              <w:rPr>
                <w:rFonts w:ascii="宋体" w:hAnsi="宋体" w:cs="宋体"/>
              </w:rPr>
            </w:pPr>
            <w:r>
              <w:rPr>
                <w:rFonts w:ascii="宋体" w:hAnsi="宋体" w:cs="宋体"/>
              </w:rPr>
              <w:t>1847</w:t>
            </w:r>
          </w:p>
        </w:tc>
        <w:tc>
          <w:tcPr>
            <w:tcW w:w="1547" w:type="dxa"/>
            <w:shd w:val="clear" w:color="auto" w:fill="FFFFFF"/>
            <w:vAlign w:val="center"/>
          </w:tcPr>
          <w:p>
            <w:pPr>
              <w:spacing w:line="280" w:lineRule="exact"/>
              <w:jc w:val="center"/>
              <w:rPr>
                <w:rFonts w:ascii="宋体" w:hAnsi="宋体" w:cs="宋体"/>
              </w:rPr>
            </w:pPr>
            <w:r>
              <w:rPr>
                <w:rFonts w:ascii="宋体" w:hAnsi="宋体" w:cs="宋体"/>
              </w:rPr>
              <w:t>1884</w:t>
            </w:r>
          </w:p>
        </w:tc>
        <w:tc>
          <w:tcPr>
            <w:tcW w:w="1547" w:type="dxa"/>
            <w:shd w:val="clear" w:color="auto" w:fill="FFFFFF"/>
            <w:vAlign w:val="center"/>
          </w:tcPr>
          <w:p>
            <w:pPr>
              <w:spacing w:line="280" w:lineRule="exact"/>
              <w:jc w:val="center"/>
              <w:rPr>
                <w:rFonts w:ascii="宋体" w:hAnsi="宋体" w:cs="宋体"/>
              </w:rPr>
            </w:pPr>
            <w:r>
              <w:rPr>
                <w:rFonts w:ascii="宋体" w:hAnsi="宋体" w:cs="宋体"/>
              </w:rPr>
              <w:t>1922</w:t>
            </w:r>
          </w:p>
        </w:tc>
        <w:tc>
          <w:tcPr>
            <w:tcW w:w="1545" w:type="dxa"/>
            <w:shd w:val="clear" w:color="auto" w:fill="FFFFFF"/>
            <w:vAlign w:val="center"/>
          </w:tcPr>
          <w:p>
            <w:pPr>
              <w:spacing w:line="280" w:lineRule="exact"/>
              <w:jc w:val="center"/>
              <w:rPr>
                <w:rFonts w:ascii="宋体" w:hAnsi="宋体" w:cs="宋体"/>
              </w:rPr>
            </w:pPr>
            <w:r>
              <w:rPr>
                <w:rFonts w:ascii="宋体" w:hAnsi="宋体" w:cs="宋体"/>
              </w:rPr>
              <w:t>1963</w:t>
            </w:r>
          </w:p>
        </w:tc>
      </w:tr>
      <w:tr>
        <w:trPr>
          <w:trHeight w:val="285" w:hRule="atLeast"/>
          <w:jc w:val="center"/>
        </w:trPr>
        <w:tc>
          <w:tcPr>
            <w:tcW w:w="1551" w:type="dxa"/>
            <w:shd w:val="clear" w:color="auto" w:fill="FFFFFF"/>
            <w:vAlign w:val="center"/>
          </w:tcPr>
          <w:p>
            <w:pPr>
              <w:spacing w:line="280" w:lineRule="exact"/>
              <w:jc w:val="center"/>
              <w:rPr>
                <w:rFonts w:ascii="宋体" w:cs="Times New Roman"/>
                <w:b/>
                <w:bCs/>
              </w:rPr>
            </w:pPr>
            <w:r>
              <w:rPr>
                <w:rFonts w:hint="eastAsia" w:ascii="宋体" w:hAnsi="宋体" w:cs="宋体"/>
                <w:b/>
                <w:bCs/>
              </w:rPr>
              <w:t>供需平衡</w:t>
            </w:r>
          </w:p>
        </w:tc>
        <w:tc>
          <w:tcPr>
            <w:tcW w:w="1549" w:type="dxa"/>
            <w:shd w:val="clear" w:color="auto" w:fill="FFFFFF"/>
            <w:vAlign w:val="center"/>
          </w:tcPr>
          <w:p>
            <w:pPr>
              <w:spacing w:line="280" w:lineRule="exact"/>
              <w:jc w:val="center"/>
              <w:rPr>
                <w:rFonts w:ascii="宋体" w:hAnsi="宋体" w:cs="宋体"/>
                <w:b/>
                <w:bCs/>
              </w:rPr>
            </w:pPr>
            <w:r>
              <w:rPr>
                <w:rFonts w:ascii="宋体" w:hAnsi="宋体" w:cs="宋体"/>
                <w:b/>
                <w:bCs/>
              </w:rPr>
              <w:t>-35</w:t>
            </w:r>
          </w:p>
        </w:tc>
        <w:tc>
          <w:tcPr>
            <w:tcW w:w="1547" w:type="dxa"/>
            <w:shd w:val="clear" w:color="auto" w:fill="FFFFFF"/>
            <w:vAlign w:val="center"/>
          </w:tcPr>
          <w:p>
            <w:pPr>
              <w:spacing w:line="280" w:lineRule="exact"/>
              <w:jc w:val="center"/>
              <w:rPr>
                <w:rFonts w:ascii="宋体" w:hAnsi="宋体" w:cs="宋体"/>
                <w:b/>
                <w:bCs/>
              </w:rPr>
            </w:pPr>
            <w:r>
              <w:rPr>
                <w:rFonts w:ascii="宋体" w:hAnsi="宋体" w:cs="宋体"/>
                <w:b/>
                <w:bCs/>
              </w:rPr>
              <w:t>-26</w:t>
            </w:r>
          </w:p>
        </w:tc>
        <w:tc>
          <w:tcPr>
            <w:tcW w:w="1547" w:type="dxa"/>
            <w:shd w:val="clear" w:color="auto" w:fill="FFFFFF"/>
            <w:vAlign w:val="center"/>
          </w:tcPr>
          <w:p>
            <w:pPr>
              <w:spacing w:line="280" w:lineRule="exact"/>
              <w:jc w:val="center"/>
              <w:rPr>
                <w:rFonts w:ascii="宋体" w:hAnsi="宋体" w:cs="宋体"/>
                <w:b/>
                <w:bCs/>
              </w:rPr>
            </w:pPr>
            <w:r>
              <w:rPr>
                <w:rFonts w:ascii="宋体" w:hAnsi="宋体" w:cs="宋体"/>
                <w:b/>
                <w:bCs/>
              </w:rPr>
              <w:t>-18</w:t>
            </w:r>
          </w:p>
        </w:tc>
        <w:tc>
          <w:tcPr>
            <w:tcW w:w="1547" w:type="dxa"/>
            <w:shd w:val="clear" w:color="auto" w:fill="FFFFFF"/>
            <w:vAlign w:val="center"/>
          </w:tcPr>
          <w:p>
            <w:pPr>
              <w:spacing w:line="280" w:lineRule="exact"/>
              <w:jc w:val="center"/>
              <w:rPr>
                <w:rFonts w:ascii="宋体" w:hAnsi="宋体" w:cs="宋体"/>
                <w:b/>
                <w:bCs/>
              </w:rPr>
            </w:pPr>
            <w:r>
              <w:rPr>
                <w:rFonts w:ascii="宋体" w:hAnsi="宋体" w:cs="宋体"/>
                <w:b/>
                <w:bCs/>
              </w:rPr>
              <w:t>-1</w:t>
            </w:r>
          </w:p>
        </w:tc>
        <w:tc>
          <w:tcPr>
            <w:tcW w:w="1545" w:type="dxa"/>
            <w:shd w:val="clear" w:color="auto" w:fill="FFFFFF"/>
            <w:vAlign w:val="center"/>
          </w:tcPr>
          <w:p>
            <w:pPr>
              <w:spacing w:line="280" w:lineRule="exact"/>
              <w:jc w:val="center"/>
              <w:rPr>
                <w:rFonts w:ascii="宋体" w:hAnsi="宋体" w:cs="宋体"/>
                <w:b/>
                <w:bCs/>
              </w:rPr>
            </w:pPr>
            <w:r>
              <w:rPr>
                <w:rFonts w:ascii="宋体" w:hAnsi="宋体" w:cs="宋体"/>
                <w:b/>
                <w:bCs/>
              </w:rPr>
              <w:t>14</w:t>
            </w:r>
          </w:p>
        </w:tc>
      </w:tr>
    </w:tbl>
    <w:p>
      <w:pPr>
        <w:spacing w:line="560" w:lineRule="exact"/>
        <w:ind w:firstLine="31680" w:firstLineChars="200"/>
        <w:rPr>
          <w:rFonts w:ascii="楷体" w:hAnsi="楷体" w:eastAsia="楷体" w:cs="Times New Roman"/>
        </w:rPr>
      </w:pPr>
      <w:r>
        <w:rPr>
          <w:rFonts w:hint="eastAsia" w:ascii="楷体" w:hAnsi="楷体" w:eastAsia="楷体" w:cs="楷体"/>
        </w:rPr>
        <w:t>数据来源：安泰科。注：供需平衡未考虑库存因素</w:t>
      </w:r>
    </w:p>
    <w:p>
      <w:pPr>
        <w:spacing w:line="560" w:lineRule="exact"/>
        <w:ind w:firstLine="31680" w:firstLineChars="200"/>
        <w:rPr>
          <w:rFonts w:ascii="仿宋" w:hAnsi="仿宋" w:eastAsia="仿宋" w:cs="Times New Roman"/>
          <w:sz w:val="28"/>
          <w:szCs w:val="28"/>
        </w:rPr>
      </w:pPr>
      <w:r>
        <w:rPr>
          <w:rFonts w:hint="eastAsia" w:ascii="仿宋" w:hAnsi="仿宋" w:eastAsia="仿宋" w:cs="仿宋"/>
          <w:sz w:val="28"/>
          <w:szCs w:val="28"/>
        </w:rPr>
        <w:t>由于国内冶炼产能扩张较快，带动对铜精矿的需求量也增长很快，而铜精矿产量在环保压力和缺乏大型新项目投产等因素影响下增长较少，导致近年来中国铜精矿产消缺口（产量和消费量之间的差值）不断扩大，并且预计“十四五”期间缺口还会进一步扩大。</w:t>
      </w:r>
    </w:p>
    <w:p>
      <w:pPr>
        <w:spacing w:beforeLines="50"/>
        <w:jc w:val="center"/>
        <w:rPr>
          <w:rFonts w:ascii="黑体" w:hAnsi="黑体" w:eastAsia="黑体" w:cs="Times New Roman"/>
        </w:rPr>
      </w:pPr>
      <w:r>
        <w:rPr>
          <w:rFonts w:hint="eastAsia" w:ascii="黑体" w:hAnsi="黑体" w:eastAsia="黑体" w:cs="黑体"/>
        </w:rPr>
        <w:t>表</w:t>
      </w:r>
      <w:r>
        <w:rPr>
          <w:rFonts w:ascii="黑体" w:hAnsi="黑体" w:eastAsia="黑体" w:cs="黑体"/>
        </w:rPr>
        <w:t>2-2  2016-2025</w:t>
      </w:r>
      <w:r>
        <w:rPr>
          <w:rFonts w:hint="eastAsia" w:ascii="黑体" w:hAnsi="黑体" w:eastAsia="黑体" w:cs="黑体"/>
        </w:rPr>
        <w:t>年中国铜精矿产、需平衡及预测（单位：万吨铜）</w:t>
      </w:r>
    </w:p>
    <w:tbl>
      <w:tblPr>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
      <w:tblGrid>
        <w:gridCol w:w="1551"/>
        <w:gridCol w:w="1549"/>
        <w:gridCol w:w="1547"/>
        <w:gridCol w:w="1547"/>
        <w:gridCol w:w="1547"/>
        <w:gridCol w:w="1545"/>
      </w:tblGrid>
      <w:tr>
        <w:trPr>
          <w:trHeight w:val="285" w:hRule="atLeast"/>
          <w:jc w:val="center"/>
        </w:trPr>
        <w:tc>
          <w:tcPr>
            <w:tcW w:w="1551" w:type="dxa"/>
            <w:shd w:val="clear" w:color="auto" w:fill="D9D9D9"/>
            <w:vAlign w:val="center"/>
          </w:tcPr>
          <w:p>
            <w:pPr>
              <w:spacing w:line="280" w:lineRule="exact"/>
              <w:jc w:val="center"/>
              <w:rPr>
                <w:rFonts w:ascii="宋体" w:cs="Times New Roman"/>
                <w:b/>
                <w:bCs/>
                <w:u w:val="single"/>
              </w:rPr>
            </w:pPr>
          </w:p>
        </w:tc>
        <w:tc>
          <w:tcPr>
            <w:tcW w:w="1549" w:type="dxa"/>
            <w:shd w:val="clear" w:color="auto" w:fill="D9D9D9"/>
            <w:vAlign w:val="center"/>
          </w:tcPr>
          <w:p>
            <w:pPr>
              <w:spacing w:line="280" w:lineRule="exact"/>
              <w:jc w:val="center"/>
              <w:rPr>
                <w:rFonts w:ascii="宋体" w:hAnsi="宋体" w:cs="宋体"/>
                <w:b/>
                <w:bCs/>
                <w:u w:val="single"/>
              </w:rPr>
            </w:pPr>
            <w:r>
              <w:rPr>
                <w:rFonts w:ascii="宋体" w:hAnsi="宋体" w:cs="宋体"/>
                <w:b/>
                <w:bCs/>
                <w:u w:val="single"/>
              </w:rPr>
              <w:t>2016</w:t>
            </w:r>
          </w:p>
        </w:tc>
        <w:tc>
          <w:tcPr>
            <w:tcW w:w="1547" w:type="dxa"/>
            <w:shd w:val="clear" w:color="auto" w:fill="D9D9D9"/>
            <w:vAlign w:val="center"/>
          </w:tcPr>
          <w:p>
            <w:pPr>
              <w:spacing w:line="280" w:lineRule="exact"/>
              <w:jc w:val="center"/>
              <w:rPr>
                <w:rFonts w:ascii="宋体" w:hAnsi="宋体" w:cs="宋体"/>
                <w:b/>
                <w:bCs/>
                <w:u w:val="single"/>
              </w:rPr>
            </w:pPr>
            <w:r>
              <w:rPr>
                <w:rFonts w:ascii="宋体" w:hAnsi="宋体" w:cs="宋体"/>
                <w:b/>
                <w:bCs/>
                <w:u w:val="single"/>
              </w:rPr>
              <w:t>2017</w:t>
            </w:r>
          </w:p>
        </w:tc>
        <w:tc>
          <w:tcPr>
            <w:tcW w:w="1547" w:type="dxa"/>
            <w:shd w:val="clear" w:color="auto" w:fill="D9D9D9"/>
            <w:vAlign w:val="center"/>
          </w:tcPr>
          <w:p>
            <w:pPr>
              <w:spacing w:line="280" w:lineRule="exact"/>
              <w:jc w:val="center"/>
              <w:rPr>
                <w:rFonts w:ascii="宋体" w:hAnsi="宋体" w:cs="宋体"/>
                <w:b/>
                <w:bCs/>
                <w:u w:val="single"/>
              </w:rPr>
            </w:pPr>
            <w:r>
              <w:rPr>
                <w:rFonts w:ascii="宋体" w:hAnsi="宋体" w:cs="宋体"/>
                <w:b/>
                <w:bCs/>
                <w:u w:val="single"/>
              </w:rPr>
              <w:t>2018</w:t>
            </w:r>
          </w:p>
        </w:tc>
        <w:tc>
          <w:tcPr>
            <w:tcW w:w="1547" w:type="dxa"/>
            <w:shd w:val="clear" w:color="auto" w:fill="D9D9D9"/>
            <w:vAlign w:val="center"/>
          </w:tcPr>
          <w:p>
            <w:pPr>
              <w:spacing w:line="280" w:lineRule="exact"/>
              <w:jc w:val="center"/>
              <w:rPr>
                <w:rFonts w:ascii="宋体" w:hAnsi="宋体" w:cs="宋体"/>
                <w:b/>
                <w:bCs/>
                <w:u w:val="single"/>
              </w:rPr>
            </w:pPr>
            <w:r>
              <w:rPr>
                <w:rFonts w:ascii="宋体" w:hAnsi="宋体" w:cs="宋体"/>
                <w:b/>
                <w:bCs/>
                <w:u w:val="single"/>
              </w:rPr>
              <w:t>2019</w:t>
            </w:r>
          </w:p>
        </w:tc>
        <w:tc>
          <w:tcPr>
            <w:tcW w:w="1545" w:type="dxa"/>
            <w:shd w:val="clear" w:color="auto" w:fill="D9D9D9"/>
            <w:vAlign w:val="top"/>
          </w:tcPr>
          <w:p>
            <w:pPr>
              <w:spacing w:line="280" w:lineRule="exact"/>
              <w:jc w:val="center"/>
              <w:rPr>
                <w:rFonts w:ascii="宋体" w:hAnsi="宋体" w:cs="宋体"/>
                <w:b/>
                <w:bCs/>
                <w:u w:val="single"/>
              </w:rPr>
            </w:pPr>
            <w:r>
              <w:rPr>
                <w:rFonts w:ascii="宋体" w:hAnsi="宋体" w:cs="宋体"/>
                <w:b/>
                <w:bCs/>
                <w:u w:val="single"/>
              </w:rPr>
              <w:t>2020</w:t>
            </w:r>
          </w:p>
        </w:tc>
      </w:tr>
      <w:tr>
        <w:trPr>
          <w:trHeight w:val="285" w:hRule="atLeast"/>
          <w:jc w:val="center"/>
        </w:trPr>
        <w:tc>
          <w:tcPr>
            <w:tcW w:w="1551" w:type="dxa"/>
            <w:shd w:val="clear" w:color="auto" w:fill="FFFFFF"/>
            <w:vAlign w:val="center"/>
          </w:tcPr>
          <w:p>
            <w:pPr>
              <w:spacing w:line="280" w:lineRule="exact"/>
              <w:jc w:val="center"/>
              <w:rPr>
                <w:rFonts w:ascii="宋体" w:cs="Times New Roman"/>
              </w:rPr>
            </w:pPr>
            <w:r>
              <w:rPr>
                <w:rFonts w:hint="eastAsia" w:ascii="宋体" w:hAnsi="宋体" w:cs="宋体"/>
              </w:rPr>
              <w:t>产量</w:t>
            </w:r>
          </w:p>
        </w:tc>
        <w:tc>
          <w:tcPr>
            <w:tcW w:w="1549" w:type="dxa"/>
            <w:shd w:val="clear" w:color="auto" w:fill="FFFFFF"/>
            <w:vAlign w:val="center"/>
          </w:tcPr>
          <w:p>
            <w:pPr>
              <w:spacing w:line="280" w:lineRule="exact"/>
              <w:jc w:val="center"/>
              <w:rPr>
                <w:rFonts w:ascii="宋体" w:hAnsi="宋体" w:cs="宋体"/>
              </w:rPr>
            </w:pPr>
            <w:r>
              <w:rPr>
                <w:rFonts w:ascii="宋体" w:hAnsi="宋体" w:cs="宋体"/>
              </w:rPr>
              <w:t>161.4</w:t>
            </w:r>
          </w:p>
        </w:tc>
        <w:tc>
          <w:tcPr>
            <w:tcW w:w="1547" w:type="dxa"/>
            <w:shd w:val="clear" w:color="auto" w:fill="FFFFFF"/>
            <w:vAlign w:val="center"/>
          </w:tcPr>
          <w:p>
            <w:pPr>
              <w:spacing w:line="280" w:lineRule="exact"/>
              <w:jc w:val="center"/>
              <w:rPr>
                <w:rFonts w:ascii="宋体" w:hAnsi="宋体" w:cs="宋体"/>
              </w:rPr>
            </w:pPr>
            <w:r>
              <w:rPr>
                <w:rFonts w:ascii="宋体" w:hAnsi="宋体" w:cs="宋体"/>
              </w:rPr>
              <w:t>164.3</w:t>
            </w:r>
          </w:p>
        </w:tc>
        <w:tc>
          <w:tcPr>
            <w:tcW w:w="1547" w:type="dxa"/>
            <w:shd w:val="clear" w:color="auto" w:fill="FFFFFF"/>
            <w:vAlign w:val="top"/>
          </w:tcPr>
          <w:p>
            <w:pPr>
              <w:spacing w:line="280" w:lineRule="exact"/>
              <w:jc w:val="center"/>
              <w:rPr>
                <w:rFonts w:ascii="宋体" w:hAnsi="宋体" w:cs="宋体"/>
              </w:rPr>
            </w:pPr>
            <w:r>
              <w:rPr>
                <w:rFonts w:ascii="宋体" w:hAnsi="宋体" w:cs="宋体"/>
              </w:rPr>
              <w:t>156.1</w:t>
            </w:r>
          </w:p>
        </w:tc>
        <w:tc>
          <w:tcPr>
            <w:tcW w:w="1547" w:type="dxa"/>
            <w:shd w:val="clear" w:color="auto" w:fill="FFFFFF"/>
            <w:vAlign w:val="center"/>
          </w:tcPr>
          <w:p>
            <w:pPr>
              <w:spacing w:line="280" w:lineRule="exact"/>
              <w:jc w:val="center"/>
              <w:rPr>
                <w:rFonts w:ascii="宋体" w:hAnsi="宋体" w:cs="宋体"/>
              </w:rPr>
            </w:pPr>
            <w:r>
              <w:rPr>
                <w:rFonts w:ascii="宋体" w:hAnsi="宋体" w:cs="宋体"/>
              </w:rPr>
              <w:t>154.9</w:t>
            </w:r>
          </w:p>
        </w:tc>
        <w:tc>
          <w:tcPr>
            <w:tcW w:w="1545" w:type="dxa"/>
            <w:shd w:val="clear" w:color="auto" w:fill="FFFFFF"/>
            <w:vAlign w:val="center"/>
          </w:tcPr>
          <w:p>
            <w:pPr>
              <w:spacing w:line="280" w:lineRule="exact"/>
              <w:jc w:val="center"/>
              <w:rPr>
                <w:rFonts w:ascii="宋体" w:hAnsi="宋体" w:cs="宋体"/>
              </w:rPr>
            </w:pPr>
            <w:r>
              <w:rPr>
                <w:rFonts w:ascii="宋体" w:hAnsi="宋体" w:cs="宋体"/>
              </w:rPr>
              <w:t>158.4</w:t>
            </w:r>
          </w:p>
        </w:tc>
      </w:tr>
      <w:tr>
        <w:trPr>
          <w:trHeight w:val="285" w:hRule="atLeast"/>
          <w:jc w:val="center"/>
        </w:trPr>
        <w:tc>
          <w:tcPr>
            <w:tcW w:w="1551" w:type="dxa"/>
            <w:shd w:val="clear" w:color="auto" w:fill="FFFFFF"/>
            <w:vAlign w:val="center"/>
          </w:tcPr>
          <w:p>
            <w:pPr>
              <w:spacing w:line="280" w:lineRule="exact"/>
              <w:jc w:val="center"/>
              <w:rPr>
                <w:rFonts w:ascii="宋体" w:cs="Times New Roman"/>
              </w:rPr>
            </w:pPr>
            <w:r>
              <w:rPr>
                <w:rFonts w:hint="eastAsia" w:ascii="宋体" w:hAnsi="宋体" w:cs="宋体"/>
              </w:rPr>
              <w:t>消费量</w:t>
            </w:r>
          </w:p>
        </w:tc>
        <w:tc>
          <w:tcPr>
            <w:tcW w:w="1549" w:type="dxa"/>
            <w:shd w:val="clear" w:color="auto" w:fill="FFFFFF"/>
            <w:vAlign w:val="center"/>
          </w:tcPr>
          <w:p>
            <w:pPr>
              <w:spacing w:line="280" w:lineRule="exact"/>
              <w:jc w:val="center"/>
              <w:rPr>
                <w:rFonts w:ascii="宋体" w:hAnsi="宋体" w:cs="宋体"/>
              </w:rPr>
            </w:pPr>
            <w:r>
              <w:rPr>
                <w:rFonts w:ascii="宋体" w:hAnsi="宋体" w:cs="宋体"/>
              </w:rPr>
              <w:t>549.9</w:t>
            </w:r>
          </w:p>
        </w:tc>
        <w:tc>
          <w:tcPr>
            <w:tcW w:w="1547" w:type="dxa"/>
            <w:shd w:val="clear" w:color="auto" w:fill="FFFFFF"/>
            <w:vAlign w:val="center"/>
          </w:tcPr>
          <w:p>
            <w:pPr>
              <w:spacing w:line="280" w:lineRule="exact"/>
              <w:jc w:val="center"/>
              <w:rPr>
                <w:rFonts w:ascii="宋体" w:hAnsi="宋体" w:cs="宋体"/>
              </w:rPr>
            </w:pPr>
            <w:r>
              <w:rPr>
                <w:rFonts w:ascii="宋体" w:hAnsi="宋体" w:cs="宋体"/>
              </w:rPr>
              <w:t>585.3</w:t>
            </w:r>
          </w:p>
        </w:tc>
        <w:tc>
          <w:tcPr>
            <w:tcW w:w="1547" w:type="dxa"/>
            <w:shd w:val="clear" w:color="auto" w:fill="FFFFFF"/>
            <w:vAlign w:val="center"/>
          </w:tcPr>
          <w:p>
            <w:pPr>
              <w:spacing w:line="280" w:lineRule="exact"/>
              <w:jc w:val="center"/>
              <w:rPr>
                <w:rFonts w:ascii="宋体" w:hAnsi="宋体" w:cs="宋体"/>
              </w:rPr>
            </w:pPr>
            <w:r>
              <w:rPr>
                <w:rFonts w:ascii="宋体" w:hAnsi="宋体" w:cs="宋体"/>
              </w:rPr>
              <w:t>629.7</w:t>
            </w:r>
          </w:p>
        </w:tc>
        <w:tc>
          <w:tcPr>
            <w:tcW w:w="1547" w:type="dxa"/>
            <w:shd w:val="clear" w:color="auto" w:fill="FFFFFF"/>
            <w:vAlign w:val="center"/>
          </w:tcPr>
          <w:p>
            <w:pPr>
              <w:spacing w:line="280" w:lineRule="exact"/>
              <w:jc w:val="center"/>
              <w:rPr>
                <w:rFonts w:ascii="宋体" w:hAnsi="宋体" w:cs="宋体"/>
              </w:rPr>
            </w:pPr>
            <w:r>
              <w:rPr>
                <w:rFonts w:ascii="宋体" w:hAnsi="宋体" w:cs="宋体"/>
              </w:rPr>
              <w:t>681.4</w:t>
            </w:r>
          </w:p>
        </w:tc>
        <w:tc>
          <w:tcPr>
            <w:tcW w:w="1545" w:type="dxa"/>
            <w:shd w:val="clear" w:color="auto" w:fill="FFFFFF"/>
            <w:vAlign w:val="center"/>
          </w:tcPr>
          <w:p>
            <w:pPr>
              <w:spacing w:line="280" w:lineRule="exact"/>
              <w:jc w:val="center"/>
              <w:rPr>
                <w:rFonts w:ascii="宋体" w:hAnsi="宋体" w:cs="宋体"/>
              </w:rPr>
            </w:pPr>
            <w:r>
              <w:rPr>
                <w:rFonts w:ascii="宋体" w:hAnsi="宋体" w:cs="宋体"/>
              </w:rPr>
              <w:t>703.7</w:t>
            </w:r>
          </w:p>
        </w:tc>
      </w:tr>
      <w:tr>
        <w:trPr>
          <w:trHeight w:val="285" w:hRule="atLeast"/>
          <w:jc w:val="center"/>
        </w:trPr>
        <w:tc>
          <w:tcPr>
            <w:tcW w:w="1551" w:type="dxa"/>
            <w:shd w:val="clear" w:color="auto" w:fill="FFFFFF"/>
            <w:vAlign w:val="center"/>
          </w:tcPr>
          <w:p>
            <w:pPr>
              <w:spacing w:line="280" w:lineRule="exact"/>
              <w:jc w:val="center"/>
              <w:rPr>
                <w:rFonts w:ascii="宋体" w:cs="Times New Roman"/>
                <w:b/>
                <w:bCs/>
              </w:rPr>
            </w:pPr>
            <w:r>
              <w:rPr>
                <w:rFonts w:hint="eastAsia" w:ascii="宋体" w:hAnsi="宋体" w:cs="宋体"/>
                <w:b/>
                <w:bCs/>
              </w:rPr>
              <w:t>产消平衡</w:t>
            </w:r>
          </w:p>
        </w:tc>
        <w:tc>
          <w:tcPr>
            <w:tcW w:w="1549" w:type="dxa"/>
            <w:shd w:val="clear" w:color="auto" w:fill="FFFFFF"/>
            <w:vAlign w:val="center"/>
          </w:tcPr>
          <w:p>
            <w:pPr>
              <w:spacing w:line="280" w:lineRule="exact"/>
              <w:jc w:val="center"/>
              <w:rPr>
                <w:rFonts w:ascii="宋体" w:hAnsi="宋体" w:cs="宋体"/>
                <w:b/>
                <w:bCs/>
              </w:rPr>
            </w:pPr>
            <w:r>
              <w:rPr>
                <w:rFonts w:ascii="宋体" w:hAnsi="宋体" w:cs="宋体"/>
                <w:b/>
                <w:bCs/>
              </w:rPr>
              <w:t>-388.5</w:t>
            </w:r>
          </w:p>
        </w:tc>
        <w:tc>
          <w:tcPr>
            <w:tcW w:w="1547" w:type="dxa"/>
            <w:shd w:val="clear" w:color="auto" w:fill="FFFFFF"/>
            <w:vAlign w:val="center"/>
          </w:tcPr>
          <w:p>
            <w:pPr>
              <w:spacing w:line="280" w:lineRule="exact"/>
              <w:jc w:val="center"/>
              <w:rPr>
                <w:rFonts w:ascii="宋体" w:hAnsi="宋体" w:cs="宋体"/>
                <w:b/>
                <w:bCs/>
              </w:rPr>
            </w:pPr>
            <w:r>
              <w:rPr>
                <w:rFonts w:ascii="宋体" w:hAnsi="宋体" w:cs="宋体"/>
                <w:b/>
                <w:bCs/>
              </w:rPr>
              <w:t>-421.0</w:t>
            </w:r>
          </w:p>
        </w:tc>
        <w:tc>
          <w:tcPr>
            <w:tcW w:w="1547" w:type="dxa"/>
            <w:shd w:val="clear" w:color="auto" w:fill="FFFFFF"/>
            <w:vAlign w:val="center"/>
          </w:tcPr>
          <w:p>
            <w:pPr>
              <w:spacing w:line="280" w:lineRule="exact"/>
              <w:jc w:val="center"/>
              <w:rPr>
                <w:rFonts w:ascii="宋体" w:hAnsi="宋体" w:cs="宋体"/>
                <w:b/>
                <w:bCs/>
              </w:rPr>
            </w:pPr>
            <w:r>
              <w:rPr>
                <w:rFonts w:ascii="宋体" w:hAnsi="宋体" w:cs="宋体"/>
                <w:b/>
                <w:bCs/>
              </w:rPr>
              <w:t>-473.6</w:t>
            </w:r>
          </w:p>
        </w:tc>
        <w:tc>
          <w:tcPr>
            <w:tcW w:w="1547" w:type="dxa"/>
            <w:shd w:val="clear" w:color="auto" w:fill="FFFFFF"/>
            <w:vAlign w:val="center"/>
          </w:tcPr>
          <w:p>
            <w:pPr>
              <w:spacing w:line="280" w:lineRule="exact"/>
              <w:jc w:val="center"/>
              <w:rPr>
                <w:rFonts w:ascii="宋体" w:hAnsi="宋体" w:cs="宋体"/>
                <w:b/>
                <w:bCs/>
              </w:rPr>
            </w:pPr>
            <w:r>
              <w:rPr>
                <w:rFonts w:ascii="宋体" w:hAnsi="宋体" w:cs="宋体"/>
                <w:b/>
                <w:bCs/>
              </w:rPr>
              <w:t>-526.5</w:t>
            </w:r>
          </w:p>
        </w:tc>
        <w:tc>
          <w:tcPr>
            <w:tcW w:w="1545" w:type="dxa"/>
            <w:shd w:val="clear" w:color="auto" w:fill="FFFFFF"/>
            <w:vAlign w:val="center"/>
          </w:tcPr>
          <w:p>
            <w:pPr>
              <w:spacing w:line="280" w:lineRule="exact"/>
              <w:jc w:val="center"/>
              <w:rPr>
                <w:rFonts w:ascii="宋体" w:hAnsi="宋体" w:cs="宋体"/>
                <w:b/>
                <w:bCs/>
              </w:rPr>
            </w:pPr>
            <w:r>
              <w:rPr>
                <w:rFonts w:ascii="宋体" w:hAnsi="宋体" w:cs="宋体"/>
                <w:b/>
                <w:bCs/>
              </w:rPr>
              <w:t>-545.3</w:t>
            </w:r>
          </w:p>
        </w:tc>
      </w:tr>
      <w:tr>
        <w:trPr>
          <w:trHeight w:val="285" w:hRule="atLeast"/>
          <w:jc w:val="center"/>
        </w:trPr>
        <w:tc>
          <w:tcPr>
            <w:tcW w:w="1551" w:type="dxa"/>
            <w:shd w:val="clear" w:color="auto" w:fill="D9D9D9"/>
            <w:vAlign w:val="center"/>
          </w:tcPr>
          <w:p>
            <w:pPr>
              <w:spacing w:line="280" w:lineRule="exact"/>
              <w:jc w:val="center"/>
              <w:rPr>
                <w:rFonts w:ascii="宋体" w:cs="Times New Roman"/>
                <w:b/>
                <w:bCs/>
              </w:rPr>
            </w:pPr>
          </w:p>
        </w:tc>
        <w:tc>
          <w:tcPr>
            <w:tcW w:w="1549" w:type="dxa"/>
            <w:shd w:val="clear" w:color="auto" w:fill="D9D9D9"/>
            <w:vAlign w:val="center"/>
          </w:tcPr>
          <w:p>
            <w:pPr>
              <w:spacing w:line="280" w:lineRule="exact"/>
              <w:jc w:val="center"/>
              <w:rPr>
                <w:rFonts w:ascii="宋体" w:hAnsi="宋体" w:cs="宋体"/>
                <w:b/>
                <w:bCs/>
                <w:u w:val="single"/>
              </w:rPr>
            </w:pPr>
            <w:r>
              <w:rPr>
                <w:rFonts w:ascii="宋体" w:hAnsi="宋体" w:cs="宋体"/>
                <w:b/>
                <w:bCs/>
                <w:u w:val="single"/>
              </w:rPr>
              <w:t>2021</w:t>
            </w:r>
          </w:p>
        </w:tc>
        <w:tc>
          <w:tcPr>
            <w:tcW w:w="1547" w:type="dxa"/>
            <w:shd w:val="clear" w:color="auto" w:fill="D9D9D9"/>
            <w:vAlign w:val="center"/>
          </w:tcPr>
          <w:p>
            <w:pPr>
              <w:spacing w:line="280" w:lineRule="exact"/>
              <w:jc w:val="center"/>
              <w:rPr>
                <w:rFonts w:ascii="宋体" w:hAnsi="宋体" w:cs="宋体"/>
                <w:b/>
                <w:bCs/>
                <w:u w:val="single"/>
              </w:rPr>
            </w:pPr>
            <w:r>
              <w:rPr>
                <w:rFonts w:ascii="宋体" w:hAnsi="宋体" w:cs="宋体"/>
                <w:b/>
                <w:bCs/>
                <w:u w:val="single"/>
              </w:rPr>
              <w:t>2022</w:t>
            </w:r>
          </w:p>
        </w:tc>
        <w:tc>
          <w:tcPr>
            <w:tcW w:w="1547" w:type="dxa"/>
            <w:shd w:val="clear" w:color="auto" w:fill="D9D9D9"/>
            <w:vAlign w:val="center"/>
          </w:tcPr>
          <w:p>
            <w:pPr>
              <w:spacing w:line="280" w:lineRule="exact"/>
              <w:jc w:val="center"/>
              <w:rPr>
                <w:rFonts w:ascii="宋体" w:hAnsi="宋体" w:cs="宋体"/>
                <w:b/>
                <w:bCs/>
                <w:u w:val="single"/>
              </w:rPr>
            </w:pPr>
            <w:r>
              <w:rPr>
                <w:rFonts w:ascii="宋体" w:hAnsi="宋体" w:cs="宋体"/>
                <w:b/>
                <w:bCs/>
                <w:u w:val="single"/>
              </w:rPr>
              <w:t>2023</w:t>
            </w:r>
          </w:p>
        </w:tc>
        <w:tc>
          <w:tcPr>
            <w:tcW w:w="1547" w:type="dxa"/>
            <w:shd w:val="clear" w:color="auto" w:fill="D9D9D9"/>
            <w:vAlign w:val="center"/>
          </w:tcPr>
          <w:p>
            <w:pPr>
              <w:spacing w:line="280" w:lineRule="exact"/>
              <w:jc w:val="center"/>
              <w:rPr>
                <w:rFonts w:ascii="宋体" w:hAnsi="宋体" w:cs="宋体"/>
                <w:b/>
                <w:bCs/>
                <w:u w:val="single"/>
              </w:rPr>
            </w:pPr>
            <w:r>
              <w:rPr>
                <w:rFonts w:ascii="宋体" w:hAnsi="宋体" w:cs="宋体"/>
                <w:b/>
                <w:bCs/>
                <w:u w:val="single"/>
              </w:rPr>
              <w:t>2024</w:t>
            </w:r>
          </w:p>
        </w:tc>
        <w:tc>
          <w:tcPr>
            <w:tcW w:w="1545" w:type="dxa"/>
            <w:shd w:val="clear" w:color="auto" w:fill="D9D9D9"/>
            <w:vAlign w:val="top"/>
          </w:tcPr>
          <w:p>
            <w:pPr>
              <w:spacing w:line="280" w:lineRule="exact"/>
              <w:jc w:val="center"/>
              <w:rPr>
                <w:rFonts w:ascii="宋体" w:hAnsi="宋体" w:cs="宋体"/>
                <w:b/>
                <w:bCs/>
                <w:u w:val="single"/>
              </w:rPr>
            </w:pPr>
            <w:r>
              <w:rPr>
                <w:rFonts w:ascii="宋体" w:hAnsi="宋体" w:cs="宋体"/>
                <w:b/>
                <w:bCs/>
                <w:u w:val="single"/>
              </w:rPr>
              <w:t>2025</w:t>
            </w:r>
          </w:p>
        </w:tc>
      </w:tr>
      <w:tr>
        <w:trPr>
          <w:trHeight w:val="285" w:hRule="atLeast"/>
          <w:jc w:val="center"/>
        </w:trPr>
        <w:tc>
          <w:tcPr>
            <w:tcW w:w="1551" w:type="dxa"/>
            <w:shd w:val="clear" w:color="auto" w:fill="FFFFFF"/>
            <w:vAlign w:val="center"/>
          </w:tcPr>
          <w:p>
            <w:pPr>
              <w:spacing w:line="280" w:lineRule="exact"/>
              <w:jc w:val="center"/>
              <w:rPr>
                <w:rFonts w:ascii="宋体" w:cs="Times New Roman"/>
                <w:b/>
                <w:bCs/>
              </w:rPr>
            </w:pPr>
            <w:r>
              <w:rPr>
                <w:rFonts w:hint="eastAsia" w:ascii="宋体" w:hAnsi="宋体" w:cs="宋体"/>
              </w:rPr>
              <w:t>产量</w:t>
            </w:r>
          </w:p>
        </w:tc>
        <w:tc>
          <w:tcPr>
            <w:tcW w:w="1549" w:type="dxa"/>
            <w:shd w:val="clear" w:color="auto" w:fill="FFFFFF"/>
            <w:vAlign w:val="center"/>
          </w:tcPr>
          <w:p>
            <w:pPr>
              <w:spacing w:line="280" w:lineRule="exact"/>
              <w:jc w:val="center"/>
              <w:rPr>
                <w:rFonts w:ascii="宋体" w:hAnsi="宋体" w:cs="宋体"/>
              </w:rPr>
            </w:pPr>
            <w:r>
              <w:rPr>
                <w:rFonts w:ascii="宋体" w:hAnsi="宋体" w:cs="宋体"/>
              </w:rPr>
              <w:t>164.5</w:t>
            </w:r>
          </w:p>
        </w:tc>
        <w:tc>
          <w:tcPr>
            <w:tcW w:w="1547" w:type="dxa"/>
            <w:shd w:val="clear" w:color="auto" w:fill="FFFFFF"/>
            <w:vAlign w:val="center"/>
          </w:tcPr>
          <w:p>
            <w:pPr>
              <w:spacing w:line="280" w:lineRule="exact"/>
              <w:jc w:val="center"/>
              <w:rPr>
                <w:rFonts w:ascii="宋体" w:hAnsi="宋体" w:cs="宋体"/>
              </w:rPr>
            </w:pPr>
            <w:r>
              <w:rPr>
                <w:rFonts w:ascii="宋体" w:hAnsi="宋体" w:cs="宋体"/>
              </w:rPr>
              <w:t>169</w:t>
            </w:r>
          </w:p>
        </w:tc>
        <w:tc>
          <w:tcPr>
            <w:tcW w:w="1547" w:type="dxa"/>
            <w:shd w:val="clear" w:color="auto" w:fill="FFFFFF"/>
            <w:vAlign w:val="center"/>
          </w:tcPr>
          <w:p>
            <w:pPr>
              <w:spacing w:line="280" w:lineRule="exact"/>
              <w:jc w:val="center"/>
              <w:rPr>
                <w:rFonts w:ascii="宋体" w:hAnsi="宋体" w:cs="宋体"/>
              </w:rPr>
            </w:pPr>
            <w:r>
              <w:rPr>
                <w:rFonts w:ascii="宋体" w:hAnsi="宋体" w:cs="宋体"/>
              </w:rPr>
              <w:t>176</w:t>
            </w:r>
          </w:p>
        </w:tc>
        <w:tc>
          <w:tcPr>
            <w:tcW w:w="1547" w:type="dxa"/>
            <w:shd w:val="clear" w:color="auto" w:fill="FFFFFF"/>
            <w:vAlign w:val="center"/>
          </w:tcPr>
          <w:p>
            <w:pPr>
              <w:spacing w:line="280" w:lineRule="exact"/>
              <w:jc w:val="center"/>
              <w:rPr>
                <w:rFonts w:ascii="宋体" w:hAnsi="宋体" w:cs="宋体"/>
              </w:rPr>
            </w:pPr>
            <w:r>
              <w:rPr>
                <w:rFonts w:ascii="宋体" w:hAnsi="宋体" w:cs="宋体"/>
              </w:rPr>
              <w:t>185</w:t>
            </w:r>
          </w:p>
        </w:tc>
        <w:tc>
          <w:tcPr>
            <w:tcW w:w="1545" w:type="dxa"/>
            <w:shd w:val="clear" w:color="auto" w:fill="FFFFFF"/>
            <w:vAlign w:val="center"/>
          </w:tcPr>
          <w:p>
            <w:pPr>
              <w:spacing w:line="280" w:lineRule="exact"/>
              <w:jc w:val="center"/>
              <w:rPr>
                <w:rFonts w:ascii="宋体" w:hAnsi="宋体" w:cs="宋体"/>
              </w:rPr>
            </w:pPr>
            <w:r>
              <w:rPr>
                <w:rFonts w:ascii="宋体" w:hAnsi="宋体" w:cs="宋体"/>
              </w:rPr>
              <w:t>190</w:t>
            </w:r>
          </w:p>
        </w:tc>
      </w:tr>
      <w:tr>
        <w:trPr>
          <w:trHeight w:val="285" w:hRule="atLeast"/>
          <w:jc w:val="center"/>
        </w:trPr>
        <w:tc>
          <w:tcPr>
            <w:tcW w:w="1551" w:type="dxa"/>
            <w:shd w:val="clear" w:color="auto" w:fill="FFFFFF"/>
            <w:vAlign w:val="center"/>
          </w:tcPr>
          <w:p>
            <w:pPr>
              <w:spacing w:line="280" w:lineRule="exact"/>
              <w:jc w:val="center"/>
              <w:rPr>
                <w:rFonts w:ascii="宋体" w:cs="Times New Roman"/>
                <w:b/>
                <w:bCs/>
              </w:rPr>
            </w:pPr>
            <w:r>
              <w:rPr>
                <w:rFonts w:hint="eastAsia" w:ascii="宋体" w:hAnsi="宋体" w:cs="宋体"/>
              </w:rPr>
              <w:t>消费量</w:t>
            </w:r>
          </w:p>
        </w:tc>
        <w:tc>
          <w:tcPr>
            <w:tcW w:w="1549" w:type="dxa"/>
            <w:shd w:val="clear" w:color="auto" w:fill="FFFFFF"/>
            <w:vAlign w:val="center"/>
          </w:tcPr>
          <w:p>
            <w:pPr>
              <w:spacing w:line="280" w:lineRule="exact"/>
              <w:jc w:val="center"/>
              <w:rPr>
                <w:rFonts w:ascii="宋体" w:hAnsi="宋体" w:cs="宋体"/>
              </w:rPr>
            </w:pPr>
            <w:r>
              <w:rPr>
                <w:rFonts w:ascii="宋体" w:hAnsi="宋体" w:cs="宋体"/>
              </w:rPr>
              <w:t>730</w:t>
            </w:r>
          </w:p>
        </w:tc>
        <w:tc>
          <w:tcPr>
            <w:tcW w:w="1547" w:type="dxa"/>
            <w:shd w:val="clear" w:color="auto" w:fill="FFFFFF"/>
            <w:vAlign w:val="center"/>
          </w:tcPr>
          <w:p>
            <w:pPr>
              <w:spacing w:line="280" w:lineRule="exact"/>
              <w:jc w:val="center"/>
              <w:rPr>
                <w:rFonts w:ascii="宋体" w:hAnsi="宋体" w:cs="宋体"/>
              </w:rPr>
            </w:pPr>
            <w:r>
              <w:rPr>
                <w:rFonts w:ascii="宋体" w:hAnsi="宋体" w:cs="宋体"/>
              </w:rPr>
              <w:t>770</w:t>
            </w:r>
          </w:p>
        </w:tc>
        <w:tc>
          <w:tcPr>
            <w:tcW w:w="1547" w:type="dxa"/>
            <w:shd w:val="clear" w:color="auto" w:fill="FFFFFF"/>
            <w:vAlign w:val="center"/>
          </w:tcPr>
          <w:p>
            <w:pPr>
              <w:spacing w:line="280" w:lineRule="exact"/>
              <w:jc w:val="center"/>
              <w:rPr>
                <w:rFonts w:ascii="宋体" w:hAnsi="宋体" w:cs="宋体"/>
              </w:rPr>
            </w:pPr>
            <w:r>
              <w:rPr>
                <w:rFonts w:ascii="宋体" w:hAnsi="宋体" w:cs="宋体"/>
              </w:rPr>
              <w:t>785</w:t>
            </w:r>
          </w:p>
        </w:tc>
        <w:tc>
          <w:tcPr>
            <w:tcW w:w="1547" w:type="dxa"/>
            <w:shd w:val="clear" w:color="auto" w:fill="FFFFFF"/>
            <w:vAlign w:val="center"/>
          </w:tcPr>
          <w:p>
            <w:pPr>
              <w:spacing w:line="280" w:lineRule="exact"/>
              <w:jc w:val="center"/>
              <w:rPr>
                <w:rFonts w:ascii="宋体" w:hAnsi="宋体" w:cs="宋体"/>
              </w:rPr>
            </w:pPr>
            <w:r>
              <w:rPr>
                <w:rFonts w:ascii="宋体" w:hAnsi="宋体" w:cs="宋体"/>
              </w:rPr>
              <w:t>800</w:t>
            </w:r>
          </w:p>
        </w:tc>
        <w:tc>
          <w:tcPr>
            <w:tcW w:w="1545" w:type="dxa"/>
            <w:shd w:val="clear" w:color="auto" w:fill="FFFFFF"/>
            <w:vAlign w:val="center"/>
          </w:tcPr>
          <w:p>
            <w:pPr>
              <w:spacing w:line="280" w:lineRule="exact"/>
              <w:jc w:val="center"/>
              <w:rPr>
                <w:rFonts w:ascii="宋体" w:hAnsi="宋体" w:cs="宋体"/>
              </w:rPr>
            </w:pPr>
            <w:r>
              <w:rPr>
                <w:rFonts w:ascii="宋体" w:hAnsi="宋体" w:cs="宋体"/>
              </w:rPr>
              <w:t>810</w:t>
            </w:r>
          </w:p>
        </w:tc>
      </w:tr>
      <w:tr>
        <w:trPr>
          <w:trHeight w:val="285" w:hRule="atLeast"/>
          <w:jc w:val="center"/>
        </w:trPr>
        <w:tc>
          <w:tcPr>
            <w:tcW w:w="1551" w:type="dxa"/>
            <w:shd w:val="clear" w:color="auto" w:fill="FFFFFF"/>
            <w:vAlign w:val="center"/>
          </w:tcPr>
          <w:p>
            <w:pPr>
              <w:spacing w:line="280" w:lineRule="exact"/>
              <w:jc w:val="center"/>
              <w:rPr>
                <w:rFonts w:ascii="宋体" w:cs="Times New Roman"/>
                <w:b/>
                <w:bCs/>
              </w:rPr>
            </w:pPr>
            <w:r>
              <w:rPr>
                <w:rFonts w:hint="eastAsia" w:ascii="宋体" w:hAnsi="宋体" w:cs="宋体"/>
                <w:b/>
                <w:bCs/>
              </w:rPr>
              <w:t>产消平衡</w:t>
            </w:r>
          </w:p>
        </w:tc>
        <w:tc>
          <w:tcPr>
            <w:tcW w:w="1549" w:type="dxa"/>
            <w:shd w:val="clear" w:color="auto" w:fill="FFFFFF"/>
            <w:vAlign w:val="center"/>
          </w:tcPr>
          <w:p>
            <w:pPr>
              <w:spacing w:line="280" w:lineRule="exact"/>
              <w:jc w:val="center"/>
              <w:rPr>
                <w:rFonts w:ascii="宋体" w:hAnsi="宋体" w:cs="宋体"/>
                <w:b/>
                <w:bCs/>
              </w:rPr>
            </w:pPr>
            <w:r>
              <w:rPr>
                <w:rFonts w:ascii="宋体" w:hAnsi="宋体" w:cs="宋体"/>
                <w:b/>
                <w:bCs/>
              </w:rPr>
              <w:t>-565.5</w:t>
            </w:r>
          </w:p>
        </w:tc>
        <w:tc>
          <w:tcPr>
            <w:tcW w:w="1547" w:type="dxa"/>
            <w:shd w:val="clear" w:color="auto" w:fill="FFFFFF"/>
            <w:vAlign w:val="center"/>
          </w:tcPr>
          <w:p>
            <w:pPr>
              <w:spacing w:line="280" w:lineRule="exact"/>
              <w:jc w:val="center"/>
              <w:rPr>
                <w:rFonts w:ascii="宋体" w:hAnsi="宋体" w:cs="宋体"/>
                <w:b/>
                <w:bCs/>
              </w:rPr>
            </w:pPr>
            <w:r>
              <w:rPr>
                <w:rFonts w:ascii="宋体" w:hAnsi="宋体" w:cs="宋体"/>
                <w:b/>
                <w:bCs/>
              </w:rPr>
              <w:t>-601</w:t>
            </w:r>
          </w:p>
        </w:tc>
        <w:tc>
          <w:tcPr>
            <w:tcW w:w="1547" w:type="dxa"/>
            <w:shd w:val="clear" w:color="auto" w:fill="FFFFFF"/>
            <w:vAlign w:val="center"/>
          </w:tcPr>
          <w:p>
            <w:pPr>
              <w:spacing w:line="280" w:lineRule="exact"/>
              <w:jc w:val="center"/>
              <w:rPr>
                <w:rFonts w:ascii="宋体" w:hAnsi="宋体" w:cs="宋体"/>
                <w:b/>
                <w:bCs/>
              </w:rPr>
            </w:pPr>
            <w:r>
              <w:rPr>
                <w:rFonts w:ascii="宋体" w:hAnsi="宋体" w:cs="宋体"/>
                <w:b/>
                <w:bCs/>
              </w:rPr>
              <w:t>-609</w:t>
            </w:r>
          </w:p>
        </w:tc>
        <w:tc>
          <w:tcPr>
            <w:tcW w:w="1547" w:type="dxa"/>
            <w:shd w:val="clear" w:color="auto" w:fill="FFFFFF"/>
            <w:vAlign w:val="center"/>
          </w:tcPr>
          <w:p>
            <w:pPr>
              <w:spacing w:line="280" w:lineRule="exact"/>
              <w:jc w:val="center"/>
              <w:rPr>
                <w:rFonts w:ascii="宋体" w:hAnsi="宋体" w:cs="宋体"/>
                <w:b/>
                <w:bCs/>
              </w:rPr>
            </w:pPr>
            <w:r>
              <w:rPr>
                <w:rFonts w:ascii="宋体" w:hAnsi="宋体" w:cs="宋体"/>
                <w:b/>
                <w:bCs/>
              </w:rPr>
              <w:t>-615</w:t>
            </w:r>
          </w:p>
        </w:tc>
        <w:tc>
          <w:tcPr>
            <w:tcW w:w="1545" w:type="dxa"/>
            <w:shd w:val="clear" w:color="auto" w:fill="FFFFFF"/>
            <w:vAlign w:val="center"/>
          </w:tcPr>
          <w:p>
            <w:pPr>
              <w:spacing w:line="280" w:lineRule="exact"/>
              <w:jc w:val="center"/>
              <w:rPr>
                <w:rFonts w:ascii="宋体" w:hAnsi="宋体" w:cs="宋体"/>
                <w:b/>
                <w:bCs/>
              </w:rPr>
            </w:pPr>
            <w:r>
              <w:rPr>
                <w:rFonts w:ascii="宋体" w:hAnsi="宋体" w:cs="宋体"/>
                <w:b/>
                <w:bCs/>
              </w:rPr>
              <w:t>-620</w:t>
            </w:r>
          </w:p>
        </w:tc>
      </w:tr>
    </w:tbl>
    <w:p>
      <w:pPr>
        <w:spacing w:line="560" w:lineRule="exact"/>
        <w:ind w:firstLine="31680" w:firstLineChars="200"/>
        <w:rPr>
          <w:rFonts w:ascii="楷体" w:hAnsi="楷体" w:eastAsia="楷体" w:cs="Times New Roman"/>
        </w:rPr>
      </w:pPr>
      <w:r>
        <w:rPr>
          <w:rFonts w:hint="eastAsia" w:ascii="楷体" w:hAnsi="楷体" w:eastAsia="楷体" w:cs="楷体"/>
        </w:rPr>
        <w:t>数据来源：安泰科。注：供需平衡未考虑库存因素</w:t>
      </w:r>
    </w:p>
    <w:p>
      <w:pPr>
        <w:spacing w:line="560" w:lineRule="exact"/>
        <w:ind w:firstLine="31680" w:firstLineChars="200"/>
        <w:rPr>
          <w:rFonts w:ascii="仿宋" w:hAnsi="仿宋" w:eastAsia="仿宋" w:cs="Times New Roman"/>
          <w:sz w:val="28"/>
          <w:szCs w:val="28"/>
        </w:rPr>
      </w:pPr>
      <w:r>
        <w:rPr>
          <w:rFonts w:ascii="仿宋" w:hAnsi="仿宋" w:eastAsia="仿宋" w:cs="仿宋"/>
          <w:sz w:val="28"/>
          <w:szCs w:val="28"/>
        </w:rPr>
        <w:t>2016-2020</w:t>
      </w:r>
      <w:r>
        <w:rPr>
          <w:rFonts w:hint="eastAsia" w:ascii="仿宋" w:hAnsi="仿宋" w:eastAsia="仿宋" w:cs="仿宋"/>
          <w:sz w:val="28"/>
          <w:szCs w:val="28"/>
        </w:rPr>
        <w:t>年全球精铜市场呈现供应过剩局面，但过剩量不大，基本处于紧平衡状态。预计</w:t>
      </w:r>
      <w:r>
        <w:rPr>
          <w:rFonts w:ascii="仿宋" w:hAnsi="仿宋" w:eastAsia="仿宋" w:cs="仿宋"/>
          <w:sz w:val="28"/>
          <w:szCs w:val="28"/>
        </w:rPr>
        <w:t>2021-2025</w:t>
      </w:r>
      <w:r>
        <w:rPr>
          <w:rFonts w:hint="eastAsia" w:ascii="仿宋" w:hAnsi="仿宋" w:eastAsia="仿宋" w:cs="仿宋"/>
          <w:sz w:val="28"/>
          <w:szCs w:val="28"/>
        </w:rPr>
        <w:t>年期间，全球精铜总体处于供应过剩逐步收窄趋势，考虑库存、在途、金融等因素，未来几年大多数年份仍可定义为紧平衡状态，至</w:t>
      </w:r>
      <w:r>
        <w:rPr>
          <w:rFonts w:ascii="仿宋" w:hAnsi="仿宋" w:eastAsia="仿宋" w:cs="仿宋"/>
          <w:sz w:val="28"/>
          <w:szCs w:val="28"/>
        </w:rPr>
        <w:t>2025</w:t>
      </w:r>
      <w:r>
        <w:rPr>
          <w:rFonts w:hint="eastAsia" w:ascii="仿宋" w:hAnsi="仿宋" w:eastAsia="仿宋" w:cs="仿宋"/>
          <w:sz w:val="28"/>
          <w:szCs w:val="28"/>
        </w:rPr>
        <w:t>年前后，将基本趋于供需平衡，并向短缺方向发展。</w:t>
      </w:r>
    </w:p>
    <w:p>
      <w:pPr>
        <w:spacing w:beforeLines="50"/>
        <w:jc w:val="center"/>
        <w:rPr>
          <w:rFonts w:ascii="黑体" w:hAnsi="黑体" w:eastAsia="黑体" w:cs="Times New Roman"/>
        </w:rPr>
      </w:pPr>
      <w:r>
        <w:rPr>
          <w:rFonts w:hint="eastAsia" w:ascii="黑体" w:hAnsi="黑体" w:eastAsia="黑体" w:cs="黑体"/>
        </w:rPr>
        <w:t>表</w:t>
      </w:r>
      <w:r>
        <w:rPr>
          <w:rFonts w:ascii="黑体" w:hAnsi="黑体" w:eastAsia="黑体" w:cs="黑体"/>
        </w:rPr>
        <w:t>2-3  2016-2025</w:t>
      </w:r>
      <w:r>
        <w:rPr>
          <w:rFonts w:hint="eastAsia" w:ascii="黑体" w:hAnsi="黑体" w:eastAsia="黑体" w:cs="黑体"/>
        </w:rPr>
        <w:t>年全球精铜供需平衡及预测（单位：万吨铜）</w:t>
      </w:r>
    </w:p>
    <w:tbl>
      <w:tblPr>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
      <w:tblGrid>
        <w:gridCol w:w="1556"/>
        <w:gridCol w:w="1549"/>
        <w:gridCol w:w="1547"/>
        <w:gridCol w:w="1547"/>
        <w:gridCol w:w="1547"/>
        <w:gridCol w:w="1540"/>
      </w:tblGrid>
      <w:tr>
        <w:trPr>
          <w:trHeight w:val="285" w:hRule="atLeast"/>
          <w:jc w:val="center"/>
        </w:trPr>
        <w:tc>
          <w:tcPr>
            <w:tcW w:w="1556" w:type="dxa"/>
            <w:shd w:val="clear" w:color="auto" w:fill="D9D9D9"/>
            <w:vAlign w:val="center"/>
          </w:tcPr>
          <w:p>
            <w:pPr>
              <w:spacing w:line="280" w:lineRule="exact"/>
              <w:jc w:val="center"/>
              <w:rPr>
                <w:rFonts w:ascii="宋体" w:cs="Times New Roman"/>
                <w:b/>
                <w:bCs/>
                <w:u w:val="single"/>
              </w:rPr>
            </w:pPr>
          </w:p>
        </w:tc>
        <w:tc>
          <w:tcPr>
            <w:tcW w:w="1549" w:type="dxa"/>
            <w:shd w:val="clear" w:color="auto" w:fill="D9D9D9"/>
            <w:vAlign w:val="center"/>
          </w:tcPr>
          <w:p>
            <w:pPr>
              <w:spacing w:line="280" w:lineRule="exact"/>
              <w:jc w:val="center"/>
              <w:rPr>
                <w:rFonts w:ascii="宋体" w:hAnsi="宋体" w:cs="宋体"/>
                <w:b/>
                <w:bCs/>
                <w:u w:val="single"/>
              </w:rPr>
            </w:pPr>
            <w:r>
              <w:rPr>
                <w:rFonts w:ascii="宋体" w:hAnsi="宋体" w:cs="宋体"/>
                <w:b/>
                <w:bCs/>
                <w:u w:val="single"/>
              </w:rPr>
              <w:t>2016</w:t>
            </w:r>
          </w:p>
        </w:tc>
        <w:tc>
          <w:tcPr>
            <w:tcW w:w="1547" w:type="dxa"/>
            <w:shd w:val="clear" w:color="auto" w:fill="D9D9D9"/>
            <w:vAlign w:val="center"/>
          </w:tcPr>
          <w:p>
            <w:pPr>
              <w:spacing w:line="280" w:lineRule="exact"/>
              <w:jc w:val="center"/>
              <w:rPr>
                <w:rFonts w:ascii="宋体" w:hAnsi="宋体" w:cs="宋体"/>
                <w:b/>
                <w:bCs/>
                <w:u w:val="single"/>
              </w:rPr>
            </w:pPr>
            <w:r>
              <w:rPr>
                <w:rFonts w:ascii="宋体" w:hAnsi="宋体" w:cs="宋体"/>
                <w:b/>
                <w:bCs/>
                <w:u w:val="single"/>
              </w:rPr>
              <w:t>2017</w:t>
            </w:r>
          </w:p>
        </w:tc>
        <w:tc>
          <w:tcPr>
            <w:tcW w:w="1547" w:type="dxa"/>
            <w:shd w:val="clear" w:color="auto" w:fill="D9D9D9"/>
            <w:vAlign w:val="center"/>
          </w:tcPr>
          <w:p>
            <w:pPr>
              <w:spacing w:line="280" w:lineRule="exact"/>
              <w:jc w:val="center"/>
              <w:rPr>
                <w:rFonts w:ascii="宋体" w:hAnsi="宋体" w:cs="宋体"/>
                <w:b/>
                <w:bCs/>
                <w:u w:val="single"/>
              </w:rPr>
            </w:pPr>
            <w:r>
              <w:rPr>
                <w:rFonts w:ascii="宋体" w:hAnsi="宋体" w:cs="宋体"/>
                <w:b/>
                <w:bCs/>
                <w:u w:val="single"/>
              </w:rPr>
              <w:t>2018</w:t>
            </w:r>
          </w:p>
        </w:tc>
        <w:tc>
          <w:tcPr>
            <w:tcW w:w="1547" w:type="dxa"/>
            <w:shd w:val="clear" w:color="auto" w:fill="D9D9D9"/>
            <w:vAlign w:val="center"/>
          </w:tcPr>
          <w:p>
            <w:pPr>
              <w:spacing w:line="280" w:lineRule="exact"/>
              <w:jc w:val="center"/>
              <w:rPr>
                <w:rFonts w:ascii="宋体" w:hAnsi="宋体" w:cs="宋体"/>
                <w:b/>
                <w:bCs/>
                <w:u w:val="single"/>
              </w:rPr>
            </w:pPr>
            <w:r>
              <w:rPr>
                <w:rFonts w:ascii="宋体" w:hAnsi="宋体" w:cs="宋体"/>
                <w:b/>
                <w:bCs/>
                <w:u w:val="single"/>
              </w:rPr>
              <w:t>2019</w:t>
            </w:r>
          </w:p>
        </w:tc>
        <w:tc>
          <w:tcPr>
            <w:tcW w:w="1540" w:type="dxa"/>
            <w:shd w:val="clear" w:color="auto" w:fill="D9D9D9"/>
            <w:vAlign w:val="top"/>
          </w:tcPr>
          <w:p>
            <w:pPr>
              <w:spacing w:line="280" w:lineRule="exact"/>
              <w:jc w:val="center"/>
              <w:rPr>
                <w:rFonts w:ascii="宋体" w:hAnsi="宋体" w:cs="宋体"/>
                <w:b/>
                <w:bCs/>
                <w:u w:val="single"/>
              </w:rPr>
            </w:pPr>
            <w:r>
              <w:rPr>
                <w:rFonts w:ascii="宋体" w:hAnsi="宋体" w:cs="宋体"/>
                <w:b/>
                <w:bCs/>
                <w:u w:val="single"/>
              </w:rPr>
              <w:t>2020</w:t>
            </w:r>
          </w:p>
        </w:tc>
      </w:tr>
      <w:tr>
        <w:trPr>
          <w:trHeight w:val="285" w:hRule="atLeast"/>
          <w:jc w:val="center"/>
        </w:trPr>
        <w:tc>
          <w:tcPr>
            <w:tcW w:w="1556" w:type="dxa"/>
            <w:shd w:val="clear" w:color="auto" w:fill="FFFFFF"/>
            <w:vAlign w:val="center"/>
          </w:tcPr>
          <w:p>
            <w:pPr>
              <w:spacing w:line="280" w:lineRule="exact"/>
              <w:jc w:val="center"/>
              <w:rPr>
                <w:rFonts w:ascii="宋体" w:cs="Times New Roman"/>
              </w:rPr>
            </w:pPr>
            <w:r>
              <w:rPr>
                <w:rFonts w:hint="eastAsia" w:ascii="宋体" w:hAnsi="宋体" w:cs="宋体"/>
              </w:rPr>
              <w:t>产量</w:t>
            </w:r>
          </w:p>
        </w:tc>
        <w:tc>
          <w:tcPr>
            <w:tcW w:w="1549" w:type="dxa"/>
            <w:shd w:val="clear" w:color="auto" w:fill="FFFFFF"/>
            <w:vAlign w:val="center"/>
          </w:tcPr>
          <w:p>
            <w:pPr>
              <w:spacing w:line="280" w:lineRule="exact"/>
              <w:jc w:val="center"/>
              <w:rPr>
                <w:rFonts w:ascii="宋体" w:hAnsi="宋体" w:cs="宋体"/>
              </w:rPr>
            </w:pPr>
            <w:r>
              <w:rPr>
                <w:rFonts w:ascii="宋体" w:hAnsi="宋体" w:cs="宋体"/>
              </w:rPr>
              <w:t>2249</w:t>
            </w:r>
          </w:p>
        </w:tc>
        <w:tc>
          <w:tcPr>
            <w:tcW w:w="1547" w:type="dxa"/>
            <w:shd w:val="clear" w:color="auto" w:fill="FFFFFF"/>
            <w:vAlign w:val="center"/>
          </w:tcPr>
          <w:p>
            <w:pPr>
              <w:spacing w:line="280" w:lineRule="exact"/>
              <w:jc w:val="center"/>
              <w:rPr>
                <w:rFonts w:ascii="宋体" w:hAnsi="宋体" w:cs="宋体"/>
              </w:rPr>
            </w:pPr>
            <w:r>
              <w:rPr>
                <w:rFonts w:ascii="宋体" w:hAnsi="宋体" w:cs="宋体"/>
              </w:rPr>
              <w:t>2288</w:t>
            </w:r>
          </w:p>
        </w:tc>
        <w:tc>
          <w:tcPr>
            <w:tcW w:w="1547" w:type="dxa"/>
            <w:shd w:val="clear" w:color="auto" w:fill="FFFFFF"/>
            <w:vAlign w:val="center"/>
          </w:tcPr>
          <w:p>
            <w:pPr>
              <w:spacing w:line="280" w:lineRule="exact"/>
              <w:jc w:val="center"/>
              <w:rPr>
                <w:rFonts w:ascii="宋体" w:hAnsi="宋体" w:cs="宋体"/>
              </w:rPr>
            </w:pPr>
            <w:r>
              <w:rPr>
                <w:rFonts w:ascii="宋体" w:hAnsi="宋体" w:cs="宋体"/>
              </w:rPr>
              <w:t>2331</w:t>
            </w:r>
          </w:p>
        </w:tc>
        <w:tc>
          <w:tcPr>
            <w:tcW w:w="1547" w:type="dxa"/>
            <w:shd w:val="clear" w:color="auto" w:fill="FFFFFF"/>
            <w:vAlign w:val="center"/>
          </w:tcPr>
          <w:p>
            <w:pPr>
              <w:spacing w:line="280" w:lineRule="exact"/>
              <w:jc w:val="center"/>
              <w:rPr>
                <w:rFonts w:ascii="宋体" w:hAnsi="宋体" w:cs="宋体"/>
              </w:rPr>
            </w:pPr>
            <w:r>
              <w:rPr>
                <w:rFonts w:ascii="宋体" w:hAnsi="宋体" w:cs="宋体"/>
              </w:rPr>
              <w:t>2356</w:t>
            </w:r>
          </w:p>
        </w:tc>
        <w:tc>
          <w:tcPr>
            <w:tcW w:w="1540" w:type="dxa"/>
            <w:shd w:val="clear" w:color="auto" w:fill="FFFFFF"/>
            <w:vAlign w:val="center"/>
          </w:tcPr>
          <w:p>
            <w:pPr>
              <w:spacing w:line="280" w:lineRule="exact"/>
              <w:jc w:val="center"/>
              <w:rPr>
                <w:rFonts w:ascii="宋体" w:hAnsi="宋体" w:cs="宋体"/>
              </w:rPr>
            </w:pPr>
            <w:r>
              <w:rPr>
                <w:rFonts w:ascii="宋体" w:hAnsi="宋体" w:cs="宋体"/>
              </w:rPr>
              <w:t>2343</w:t>
            </w:r>
          </w:p>
        </w:tc>
      </w:tr>
      <w:tr>
        <w:trPr>
          <w:trHeight w:val="285" w:hRule="atLeast"/>
          <w:jc w:val="center"/>
        </w:trPr>
        <w:tc>
          <w:tcPr>
            <w:tcW w:w="1556" w:type="dxa"/>
            <w:shd w:val="clear" w:color="auto" w:fill="FFFFFF"/>
            <w:vAlign w:val="center"/>
          </w:tcPr>
          <w:p>
            <w:pPr>
              <w:spacing w:line="280" w:lineRule="exact"/>
              <w:jc w:val="center"/>
              <w:rPr>
                <w:rFonts w:ascii="宋体" w:cs="Times New Roman"/>
              </w:rPr>
            </w:pPr>
            <w:r>
              <w:rPr>
                <w:rFonts w:hint="eastAsia" w:ascii="宋体" w:hAnsi="宋体" w:cs="宋体"/>
              </w:rPr>
              <w:t>消费量</w:t>
            </w:r>
          </w:p>
        </w:tc>
        <w:tc>
          <w:tcPr>
            <w:tcW w:w="1549" w:type="dxa"/>
            <w:shd w:val="clear" w:color="auto" w:fill="FFFFFF"/>
            <w:vAlign w:val="center"/>
          </w:tcPr>
          <w:p>
            <w:pPr>
              <w:spacing w:line="280" w:lineRule="exact"/>
              <w:jc w:val="center"/>
              <w:rPr>
                <w:rFonts w:ascii="宋体" w:hAnsi="宋体" w:cs="宋体"/>
              </w:rPr>
            </w:pPr>
            <w:r>
              <w:rPr>
                <w:rFonts w:ascii="宋体" w:hAnsi="宋体" w:cs="宋体"/>
              </w:rPr>
              <w:t>2221</w:t>
            </w:r>
          </w:p>
        </w:tc>
        <w:tc>
          <w:tcPr>
            <w:tcW w:w="1547" w:type="dxa"/>
            <w:shd w:val="clear" w:color="auto" w:fill="FFFFFF"/>
            <w:vAlign w:val="center"/>
          </w:tcPr>
          <w:p>
            <w:pPr>
              <w:spacing w:line="280" w:lineRule="exact"/>
              <w:jc w:val="center"/>
              <w:rPr>
                <w:rFonts w:ascii="宋体" w:hAnsi="宋体" w:cs="宋体"/>
              </w:rPr>
            </w:pPr>
            <w:r>
              <w:rPr>
                <w:rFonts w:ascii="宋体" w:hAnsi="宋体" w:cs="宋体"/>
              </w:rPr>
              <w:t>2267</w:t>
            </w:r>
          </w:p>
        </w:tc>
        <w:tc>
          <w:tcPr>
            <w:tcW w:w="1547" w:type="dxa"/>
            <w:shd w:val="clear" w:color="auto" w:fill="FFFFFF"/>
            <w:vAlign w:val="center"/>
          </w:tcPr>
          <w:p>
            <w:pPr>
              <w:spacing w:line="280" w:lineRule="exact"/>
              <w:jc w:val="center"/>
              <w:rPr>
                <w:rFonts w:ascii="宋体" w:hAnsi="宋体" w:cs="宋体"/>
              </w:rPr>
            </w:pPr>
            <w:r>
              <w:rPr>
                <w:rFonts w:ascii="宋体" w:hAnsi="宋体" w:cs="宋体"/>
              </w:rPr>
              <w:t>2322</w:t>
            </w:r>
          </w:p>
        </w:tc>
        <w:tc>
          <w:tcPr>
            <w:tcW w:w="1547" w:type="dxa"/>
            <w:shd w:val="clear" w:color="auto" w:fill="FFFFFF"/>
            <w:vAlign w:val="center"/>
          </w:tcPr>
          <w:p>
            <w:pPr>
              <w:spacing w:line="280" w:lineRule="exact"/>
              <w:jc w:val="center"/>
              <w:rPr>
                <w:rFonts w:ascii="宋体" w:hAnsi="宋体" w:cs="宋体"/>
              </w:rPr>
            </w:pPr>
            <w:r>
              <w:rPr>
                <w:rFonts w:ascii="宋体" w:hAnsi="宋体" w:cs="宋体"/>
              </w:rPr>
              <w:t>2336</w:t>
            </w:r>
          </w:p>
        </w:tc>
        <w:tc>
          <w:tcPr>
            <w:tcW w:w="1540" w:type="dxa"/>
            <w:shd w:val="clear" w:color="auto" w:fill="FFFFFF"/>
            <w:vAlign w:val="center"/>
          </w:tcPr>
          <w:p>
            <w:pPr>
              <w:spacing w:line="280" w:lineRule="exact"/>
              <w:jc w:val="center"/>
              <w:rPr>
                <w:rFonts w:ascii="宋体" w:hAnsi="宋体" w:cs="宋体"/>
              </w:rPr>
            </w:pPr>
            <w:r>
              <w:rPr>
                <w:rFonts w:ascii="宋体" w:hAnsi="宋体" w:cs="宋体"/>
              </w:rPr>
              <w:t>2307</w:t>
            </w:r>
          </w:p>
        </w:tc>
      </w:tr>
      <w:tr>
        <w:trPr>
          <w:trHeight w:val="285" w:hRule="atLeast"/>
          <w:jc w:val="center"/>
        </w:trPr>
        <w:tc>
          <w:tcPr>
            <w:tcW w:w="1556" w:type="dxa"/>
            <w:shd w:val="clear" w:color="auto" w:fill="FFFFFF"/>
            <w:vAlign w:val="center"/>
          </w:tcPr>
          <w:p>
            <w:pPr>
              <w:spacing w:line="280" w:lineRule="exact"/>
              <w:jc w:val="center"/>
              <w:rPr>
                <w:rFonts w:ascii="宋体" w:cs="Times New Roman"/>
                <w:b/>
                <w:bCs/>
              </w:rPr>
            </w:pPr>
            <w:r>
              <w:rPr>
                <w:rFonts w:hint="eastAsia" w:ascii="宋体" w:hAnsi="宋体" w:cs="宋体"/>
                <w:b/>
                <w:bCs/>
              </w:rPr>
              <w:t>供需平衡</w:t>
            </w:r>
          </w:p>
        </w:tc>
        <w:tc>
          <w:tcPr>
            <w:tcW w:w="1549" w:type="dxa"/>
            <w:shd w:val="clear" w:color="auto" w:fill="FFFFFF"/>
            <w:vAlign w:val="center"/>
          </w:tcPr>
          <w:p>
            <w:pPr>
              <w:spacing w:line="280" w:lineRule="exact"/>
              <w:jc w:val="center"/>
              <w:rPr>
                <w:rFonts w:ascii="宋体" w:hAnsi="宋体" w:cs="宋体"/>
                <w:b/>
                <w:bCs/>
              </w:rPr>
            </w:pPr>
            <w:r>
              <w:rPr>
                <w:rFonts w:ascii="宋体" w:hAnsi="宋体" w:cs="宋体"/>
                <w:b/>
                <w:bCs/>
              </w:rPr>
              <w:t>28</w:t>
            </w:r>
          </w:p>
        </w:tc>
        <w:tc>
          <w:tcPr>
            <w:tcW w:w="1547" w:type="dxa"/>
            <w:shd w:val="clear" w:color="auto" w:fill="FFFFFF"/>
            <w:vAlign w:val="center"/>
          </w:tcPr>
          <w:p>
            <w:pPr>
              <w:spacing w:line="280" w:lineRule="exact"/>
              <w:jc w:val="center"/>
              <w:rPr>
                <w:rFonts w:ascii="宋体" w:hAnsi="宋体" w:cs="宋体"/>
                <w:b/>
                <w:bCs/>
              </w:rPr>
            </w:pPr>
            <w:r>
              <w:rPr>
                <w:rFonts w:ascii="宋体" w:hAnsi="宋体" w:cs="宋体"/>
                <w:b/>
                <w:bCs/>
              </w:rPr>
              <w:t>21</w:t>
            </w:r>
          </w:p>
        </w:tc>
        <w:tc>
          <w:tcPr>
            <w:tcW w:w="1547" w:type="dxa"/>
            <w:shd w:val="clear" w:color="auto" w:fill="FFFFFF"/>
            <w:vAlign w:val="center"/>
          </w:tcPr>
          <w:p>
            <w:pPr>
              <w:spacing w:line="280" w:lineRule="exact"/>
              <w:jc w:val="center"/>
              <w:rPr>
                <w:rFonts w:ascii="宋体" w:hAnsi="宋体" w:cs="宋体"/>
                <w:b/>
                <w:bCs/>
              </w:rPr>
            </w:pPr>
            <w:r>
              <w:rPr>
                <w:rFonts w:ascii="宋体" w:hAnsi="宋体" w:cs="宋体"/>
                <w:b/>
                <w:bCs/>
              </w:rPr>
              <w:t>9</w:t>
            </w:r>
          </w:p>
        </w:tc>
        <w:tc>
          <w:tcPr>
            <w:tcW w:w="1547" w:type="dxa"/>
            <w:shd w:val="clear" w:color="auto" w:fill="FFFFFF"/>
            <w:vAlign w:val="center"/>
          </w:tcPr>
          <w:p>
            <w:pPr>
              <w:spacing w:line="280" w:lineRule="exact"/>
              <w:jc w:val="center"/>
              <w:rPr>
                <w:rFonts w:ascii="宋体" w:hAnsi="宋体" w:cs="宋体"/>
                <w:b/>
                <w:bCs/>
              </w:rPr>
            </w:pPr>
            <w:r>
              <w:rPr>
                <w:rFonts w:ascii="宋体" w:hAnsi="宋体" w:cs="宋体"/>
                <w:b/>
                <w:bCs/>
              </w:rPr>
              <w:t>20</w:t>
            </w:r>
          </w:p>
        </w:tc>
        <w:tc>
          <w:tcPr>
            <w:tcW w:w="1540" w:type="dxa"/>
            <w:shd w:val="clear" w:color="auto" w:fill="FFFFFF"/>
            <w:vAlign w:val="center"/>
          </w:tcPr>
          <w:p>
            <w:pPr>
              <w:spacing w:line="280" w:lineRule="exact"/>
              <w:jc w:val="center"/>
              <w:rPr>
                <w:rFonts w:ascii="宋体" w:hAnsi="宋体" w:cs="宋体"/>
                <w:b/>
                <w:bCs/>
              </w:rPr>
            </w:pPr>
            <w:r>
              <w:rPr>
                <w:rFonts w:ascii="宋体" w:hAnsi="宋体" w:cs="宋体"/>
                <w:b/>
                <w:bCs/>
              </w:rPr>
              <w:t>36</w:t>
            </w:r>
          </w:p>
        </w:tc>
      </w:tr>
      <w:tr>
        <w:trPr>
          <w:trHeight w:val="285" w:hRule="atLeast"/>
          <w:jc w:val="center"/>
        </w:trPr>
        <w:tc>
          <w:tcPr>
            <w:tcW w:w="1556" w:type="dxa"/>
            <w:shd w:val="clear" w:color="auto" w:fill="D9D9D9"/>
            <w:vAlign w:val="center"/>
          </w:tcPr>
          <w:p>
            <w:pPr>
              <w:spacing w:line="280" w:lineRule="exact"/>
              <w:jc w:val="center"/>
              <w:rPr>
                <w:rFonts w:ascii="宋体" w:cs="Times New Roman"/>
                <w:b/>
                <w:bCs/>
              </w:rPr>
            </w:pPr>
          </w:p>
        </w:tc>
        <w:tc>
          <w:tcPr>
            <w:tcW w:w="1549" w:type="dxa"/>
            <w:shd w:val="clear" w:color="auto" w:fill="D9D9D9"/>
            <w:vAlign w:val="center"/>
          </w:tcPr>
          <w:p>
            <w:pPr>
              <w:spacing w:line="280" w:lineRule="exact"/>
              <w:jc w:val="center"/>
              <w:rPr>
                <w:rFonts w:ascii="宋体" w:hAnsi="宋体" w:cs="宋体"/>
                <w:b/>
                <w:bCs/>
                <w:u w:val="single"/>
              </w:rPr>
            </w:pPr>
            <w:r>
              <w:rPr>
                <w:rFonts w:ascii="宋体" w:hAnsi="宋体" w:cs="宋体"/>
                <w:b/>
                <w:bCs/>
                <w:u w:val="single"/>
              </w:rPr>
              <w:t>2021</w:t>
            </w:r>
          </w:p>
        </w:tc>
        <w:tc>
          <w:tcPr>
            <w:tcW w:w="1547" w:type="dxa"/>
            <w:shd w:val="clear" w:color="auto" w:fill="D9D9D9"/>
            <w:vAlign w:val="center"/>
          </w:tcPr>
          <w:p>
            <w:pPr>
              <w:spacing w:line="280" w:lineRule="exact"/>
              <w:jc w:val="center"/>
              <w:rPr>
                <w:rFonts w:ascii="宋体" w:hAnsi="宋体" w:cs="宋体"/>
                <w:b/>
                <w:bCs/>
                <w:u w:val="single"/>
              </w:rPr>
            </w:pPr>
            <w:r>
              <w:rPr>
                <w:rFonts w:ascii="宋体" w:hAnsi="宋体" w:cs="宋体"/>
                <w:b/>
                <w:bCs/>
                <w:u w:val="single"/>
              </w:rPr>
              <w:t>2022</w:t>
            </w:r>
          </w:p>
        </w:tc>
        <w:tc>
          <w:tcPr>
            <w:tcW w:w="1547" w:type="dxa"/>
            <w:shd w:val="clear" w:color="auto" w:fill="D9D9D9"/>
            <w:vAlign w:val="center"/>
          </w:tcPr>
          <w:p>
            <w:pPr>
              <w:spacing w:line="280" w:lineRule="exact"/>
              <w:jc w:val="center"/>
              <w:rPr>
                <w:rFonts w:ascii="宋体" w:hAnsi="宋体" w:cs="宋体"/>
                <w:b/>
                <w:bCs/>
                <w:u w:val="single"/>
              </w:rPr>
            </w:pPr>
            <w:r>
              <w:rPr>
                <w:rFonts w:ascii="宋体" w:hAnsi="宋体" w:cs="宋体"/>
                <w:b/>
                <w:bCs/>
                <w:u w:val="single"/>
              </w:rPr>
              <w:t>2023</w:t>
            </w:r>
          </w:p>
        </w:tc>
        <w:tc>
          <w:tcPr>
            <w:tcW w:w="1547" w:type="dxa"/>
            <w:shd w:val="clear" w:color="auto" w:fill="D9D9D9"/>
            <w:vAlign w:val="center"/>
          </w:tcPr>
          <w:p>
            <w:pPr>
              <w:spacing w:line="280" w:lineRule="exact"/>
              <w:jc w:val="center"/>
              <w:rPr>
                <w:rFonts w:ascii="宋体" w:hAnsi="宋体" w:cs="宋体"/>
                <w:b/>
                <w:bCs/>
                <w:u w:val="single"/>
              </w:rPr>
            </w:pPr>
            <w:r>
              <w:rPr>
                <w:rFonts w:ascii="宋体" w:hAnsi="宋体" w:cs="宋体"/>
                <w:b/>
                <w:bCs/>
                <w:u w:val="single"/>
              </w:rPr>
              <w:t>2024</w:t>
            </w:r>
          </w:p>
        </w:tc>
        <w:tc>
          <w:tcPr>
            <w:tcW w:w="1540" w:type="dxa"/>
            <w:shd w:val="clear" w:color="auto" w:fill="D9D9D9"/>
            <w:vAlign w:val="top"/>
          </w:tcPr>
          <w:p>
            <w:pPr>
              <w:spacing w:line="280" w:lineRule="exact"/>
              <w:jc w:val="center"/>
              <w:rPr>
                <w:rFonts w:ascii="宋体" w:hAnsi="宋体" w:cs="宋体"/>
                <w:b/>
                <w:bCs/>
                <w:u w:val="single"/>
              </w:rPr>
            </w:pPr>
            <w:r>
              <w:rPr>
                <w:rFonts w:ascii="宋体" w:hAnsi="宋体" w:cs="宋体"/>
                <w:b/>
                <w:bCs/>
                <w:u w:val="single"/>
              </w:rPr>
              <w:t>2025</w:t>
            </w:r>
          </w:p>
        </w:tc>
      </w:tr>
      <w:tr>
        <w:trPr>
          <w:trHeight w:val="285" w:hRule="atLeast"/>
          <w:jc w:val="center"/>
        </w:trPr>
        <w:tc>
          <w:tcPr>
            <w:tcW w:w="1556" w:type="dxa"/>
            <w:shd w:val="clear" w:color="auto" w:fill="FFFFFF"/>
            <w:vAlign w:val="center"/>
          </w:tcPr>
          <w:p>
            <w:pPr>
              <w:spacing w:line="280" w:lineRule="exact"/>
              <w:jc w:val="center"/>
              <w:rPr>
                <w:rFonts w:ascii="宋体" w:cs="Times New Roman"/>
                <w:b/>
                <w:bCs/>
              </w:rPr>
            </w:pPr>
            <w:r>
              <w:rPr>
                <w:rFonts w:hint="eastAsia" w:ascii="宋体" w:hAnsi="宋体" w:cs="宋体"/>
              </w:rPr>
              <w:t>产量</w:t>
            </w:r>
          </w:p>
        </w:tc>
        <w:tc>
          <w:tcPr>
            <w:tcW w:w="1549" w:type="dxa"/>
            <w:shd w:val="clear" w:color="auto" w:fill="FFFFFF"/>
            <w:vAlign w:val="center"/>
          </w:tcPr>
          <w:p>
            <w:pPr>
              <w:spacing w:line="280" w:lineRule="exact"/>
              <w:jc w:val="center"/>
              <w:rPr>
                <w:rFonts w:ascii="宋体" w:hAnsi="宋体" w:cs="宋体"/>
              </w:rPr>
            </w:pPr>
            <w:r>
              <w:rPr>
                <w:rFonts w:ascii="宋体" w:hAnsi="宋体" w:cs="宋体"/>
              </w:rPr>
              <w:t>2414</w:t>
            </w:r>
          </w:p>
        </w:tc>
        <w:tc>
          <w:tcPr>
            <w:tcW w:w="1547" w:type="dxa"/>
            <w:shd w:val="clear" w:color="auto" w:fill="FFFFFF"/>
            <w:vAlign w:val="center"/>
          </w:tcPr>
          <w:p>
            <w:pPr>
              <w:spacing w:line="280" w:lineRule="exact"/>
              <w:jc w:val="center"/>
              <w:rPr>
                <w:rFonts w:ascii="宋体" w:hAnsi="宋体" w:cs="宋体"/>
              </w:rPr>
            </w:pPr>
            <w:r>
              <w:rPr>
                <w:rFonts w:ascii="宋体" w:hAnsi="宋体" w:cs="宋体"/>
              </w:rPr>
              <w:t>2455</w:t>
            </w:r>
          </w:p>
        </w:tc>
        <w:tc>
          <w:tcPr>
            <w:tcW w:w="1547" w:type="dxa"/>
            <w:shd w:val="clear" w:color="auto" w:fill="FFFFFF"/>
            <w:vAlign w:val="center"/>
          </w:tcPr>
          <w:p>
            <w:pPr>
              <w:spacing w:line="280" w:lineRule="exact"/>
              <w:jc w:val="center"/>
              <w:rPr>
                <w:rFonts w:ascii="宋体" w:hAnsi="宋体" w:cs="宋体"/>
              </w:rPr>
            </w:pPr>
            <w:r>
              <w:rPr>
                <w:rFonts w:ascii="宋体" w:hAnsi="宋体" w:cs="宋体"/>
              </w:rPr>
              <w:t>2479</w:t>
            </w:r>
          </w:p>
        </w:tc>
        <w:tc>
          <w:tcPr>
            <w:tcW w:w="1547" w:type="dxa"/>
            <w:shd w:val="clear" w:color="auto" w:fill="FFFFFF"/>
            <w:vAlign w:val="center"/>
          </w:tcPr>
          <w:p>
            <w:pPr>
              <w:spacing w:line="280" w:lineRule="exact"/>
              <w:jc w:val="center"/>
              <w:rPr>
                <w:rFonts w:ascii="宋体" w:hAnsi="宋体" w:cs="宋体"/>
              </w:rPr>
            </w:pPr>
            <w:r>
              <w:rPr>
                <w:rFonts w:ascii="宋体" w:hAnsi="宋体" w:cs="宋体"/>
              </w:rPr>
              <w:t>2508</w:t>
            </w:r>
          </w:p>
        </w:tc>
        <w:tc>
          <w:tcPr>
            <w:tcW w:w="1540" w:type="dxa"/>
            <w:shd w:val="clear" w:color="auto" w:fill="FFFFFF"/>
            <w:vAlign w:val="center"/>
          </w:tcPr>
          <w:p>
            <w:pPr>
              <w:spacing w:line="280" w:lineRule="exact"/>
              <w:jc w:val="center"/>
              <w:rPr>
                <w:rFonts w:ascii="宋体" w:hAnsi="宋体" w:cs="宋体"/>
              </w:rPr>
            </w:pPr>
            <w:r>
              <w:rPr>
                <w:rFonts w:ascii="宋体" w:hAnsi="宋体" w:cs="宋体"/>
              </w:rPr>
              <w:t>2534</w:t>
            </w:r>
          </w:p>
        </w:tc>
      </w:tr>
      <w:tr>
        <w:trPr>
          <w:trHeight w:val="285" w:hRule="atLeast"/>
          <w:jc w:val="center"/>
        </w:trPr>
        <w:tc>
          <w:tcPr>
            <w:tcW w:w="1556" w:type="dxa"/>
            <w:shd w:val="clear" w:color="auto" w:fill="FFFFFF"/>
            <w:vAlign w:val="center"/>
          </w:tcPr>
          <w:p>
            <w:pPr>
              <w:spacing w:line="280" w:lineRule="exact"/>
              <w:jc w:val="center"/>
              <w:rPr>
                <w:rFonts w:ascii="宋体" w:cs="Times New Roman"/>
                <w:b/>
                <w:bCs/>
              </w:rPr>
            </w:pPr>
            <w:r>
              <w:rPr>
                <w:rFonts w:hint="eastAsia" w:ascii="宋体" w:hAnsi="宋体" w:cs="宋体"/>
              </w:rPr>
              <w:t>消费量</w:t>
            </w:r>
          </w:p>
        </w:tc>
        <w:tc>
          <w:tcPr>
            <w:tcW w:w="1549" w:type="dxa"/>
            <w:shd w:val="clear" w:color="auto" w:fill="FFFFFF"/>
            <w:vAlign w:val="center"/>
          </w:tcPr>
          <w:p>
            <w:pPr>
              <w:spacing w:line="280" w:lineRule="exact"/>
              <w:jc w:val="center"/>
              <w:rPr>
                <w:rFonts w:ascii="宋体" w:hAnsi="宋体" w:cs="宋体"/>
              </w:rPr>
            </w:pPr>
            <w:r>
              <w:rPr>
                <w:rFonts w:ascii="宋体" w:hAnsi="宋体" w:cs="宋体"/>
              </w:rPr>
              <w:t>2383</w:t>
            </w:r>
          </w:p>
        </w:tc>
        <w:tc>
          <w:tcPr>
            <w:tcW w:w="1547" w:type="dxa"/>
            <w:shd w:val="clear" w:color="auto" w:fill="FFFFFF"/>
            <w:vAlign w:val="center"/>
          </w:tcPr>
          <w:p>
            <w:pPr>
              <w:spacing w:line="280" w:lineRule="exact"/>
              <w:jc w:val="center"/>
              <w:rPr>
                <w:rFonts w:ascii="宋体" w:hAnsi="宋体" w:cs="宋体"/>
              </w:rPr>
            </w:pPr>
            <w:r>
              <w:rPr>
                <w:rFonts w:ascii="宋体" w:hAnsi="宋体" w:cs="宋体"/>
              </w:rPr>
              <w:t>2427</w:t>
            </w:r>
          </w:p>
        </w:tc>
        <w:tc>
          <w:tcPr>
            <w:tcW w:w="1547" w:type="dxa"/>
            <w:shd w:val="clear" w:color="auto" w:fill="FFFFFF"/>
            <w:vAlign w:val="center"/>
          </w:tcPr>
          <w:p>
            <w:pPr>
              <w:spacing w:line="280" w:lineRule="exact"/>
              <w:jc w:val="center"/>
              <w:rPr>
                <w:rFonts w:ascii="宋体" w:hAnsi="宋体" w:cs="宋体"/>
              </w:rPr>
            </w:pPr>
            <w:r>
              <w:rPr>
                <w:rFonts w:ascii="宋体" w:hAnsi="宋体" w:cs="宋体"/>
              </w:rPr>
              <w:t>2462</w:t>
            </w:r>
          </w:p>
        </w:tc>
        <w:tc>
          <w:tcPr>
            <w:tcW w:w="1547" w:type="dxa"/>
            <w:shd w:val="clear" w:color="auto" w:fill="FFFFFF"/>
            <w:vAlign w:val="center"/>
          </w:tcPr>
          <w:p>
            <w:pPr>
              <w:spacing w:line="280" w:lineRule="exact"/>
              <w:jc w:val="center"/>
              <w:rPr>
                <w:rFonts w:ascii="宋体" w:hAnsi="宋体" w:cs="宋体"/>
              </w:rPr>
            </w:pPr>
            <w:r>
              <w:rPr>
                <w:rFonts w:ascii="宋体" w:hAnsi="宋体" w:cs="宋体"/>
              </w:rPr>
              <w:t>2495</w:t>
            </w:r>
          </w:p>
        </w:tc>
        <w:tc>
          <w:tcPr>
            <w:tcW w:w="1540" w:type="dxa"/>
            <w:shd w:val="clear" w:color="auto" w:fill="FFFFFF"/>
            <w:vAlign w:val="center"/>
          </w:tcPr>
          <w:p>
            <w:pPr>
              <w:spacing w:line="280" w:lineRule="exact"/>
              <w:jc w:val="center"/>
              <w:rPr>
                <w:rFonts w:ascii="宋体" w:hAnsi="宋体" w:cs="宋体"/>
              </w:rPr>
            </w:pPr>
            <w:r>
              <w:rPr>
                <w:rFonts w:ascii="宋体" w:hAnsi="宋体" w:cs="宋体"/>
              </w:rPr>
              <w:t>2531</w:t>
            </w:r>
          </w:p>
        </w:tc>
      </w:tr>
      <w:tr>
        <w:trPr>
          <w:trHeight w:val="285" w:hRule="atLeast"/>
          <w:jc w:val="center"/>
        </w:trPr>
        <w:tc>
          <w:tcPr>
            <w:tcW w:w="1556" w:type="dxa"/>
            <w:shd w:val="clear" w:color="auto" w:fill="FFFFFF"/>
            <w:vAlign w:val="center"/>
          </w:tcPr>
          <w:p>
            <w:pPr>
              <w:spacing w:line="280" w:lineRule="exact"/>
              <w:jc w:val="center"/>
              <w:rPr>
                <w:rFonts w:ascii="宋体" w:cs="Times New Roman"/>
                <w:b/>
                <w:bCs/>
              </w:rPr>
            </w:pPr>
            <w:r>
              <w:rPr>
                <w:rFonts w:hint="eastAsia" w:ascii="宋体" w:hAnsi="宋体" w:cs="宋体"/>
                <w:b/>
                <w:bCs/>
              </w:rPr>
              <w:t>供需平衡</w:t>
            </w:r>
          </w:p>
        </w:tc>
        <w:tc>
          <w:tcPr>
            <w:tcW w:w="1549" w:type="dxa"/>
            <w:shd w:val="clear" w:color="auto" w:fill="FFFFFF"/>
            <w:vAlign w:val="center"/>
          </w:tcPr>
          <w:p>
            <w:pPr>
              <w:spacing w:line="280" w:lineRule="exact"/>
              <w:jc w:val="center"/>
              <w:rPr>
                <w:rFonts w:ascii="宋体" w:hAnsi="宋体" w:cs="宋体"/>
                <w:b/>
                <w:bCs/>
              </w:rPr>
            </w:pPr>
            <w:r>
              <w:rPr>
                <w:rFonts w:ascii="宋体" w:hAnsi="宋体" w:cs="宋体"/>
                <w:b/>
                <w:bCs/>
              </w:rPr>
              <w:t>31</w:t>
            </w:r>
          </w:p>
        </w:tc>
        <w:tc>
          <w:tcPr>
            <w:tcW w:w="1547" w:type="dxa"/>
            <w:shd w:val="clear" w:color="auto" w:fill="FFFFFF"/>
            <w:vAlign w:val="center"/>
          </w:tcPr>
          <w:p>
            <w:pPr>
              <w:spacing w:line="280" w:lineRule="exact"/>
              <w:jc w:val="center"/>
              <w:rPr>
                <w:rFonts w:ascii="宋体" w:hAnsi="宋体" w:cs="宋体"/>
                <w:b/>
                <w:bCs/>
              </w:rPr>
            </w:pPr>
            <w:r>
              <w:rPr>
                <w:rFonts w:ascii="宋体" w:hAnsi="宋体" w:cs="宋体"/>
                <w:b/>
                <w:bCs/>
              </w:rPr>
              <w:t>28</w:t>
            </w:r>
          </w:p>
        </w:tc>
        <w:tc>
          <w:tcPr>
            <w:tcW w:w="1547" w:type="dxa"/>
            <w:shd w:val="clear" w:color="auto" w:fill="FFFFFF"/>
            <w:vAlign w:val="center"/>
          </w:tcPr>
          <w:p>
            <w:pPr>
              <w:spacing w:line="280" w:lineRule="exact"/>
              <w:jc w:val="center"/>
              <w:rPr>
                <w:rFonts w:ascii="宋体" w:hAnsi="宋体" w:cs="宋体"/>
                <w:b/>
                <w:bCs/>
              </w:rPr>
            </w:pPr>
            <w:r>
              <w:rPr>
                <w:rFonts w:ascii="宋体" w:hAnsi="宋体" w:cs="宋体"/>
                <w:b/>
                <w:bCs/>
              </w:rPr>
              <w:t>17</w:t>
            </w:r>
          </w:p>
        </w:tc>
        <w:tc>
          <w:tcPr>
            <w:tcW w:w="1547" w:type="dxa"/>
            <w:shd w:val="clear" w:color="auto" w:fill="FFFFFF"/>
            <w:vAlign w:val="center"/>
          </w:tcPr>
          <w:p>
            <w:pPr>
              <w:spacing w:line="280" w:lineRule="exact"/>
              <w:jc w:val="center"/>
              <w:rPr>
                <w:rFonts w:ascii="宋体" w:hAnsi="宋体" w:cs="宋体"/>
                <w:b/>
                <w:bCs/>
              </w:rPr>
            </w:pPr>
            <w:r>
              <w:rPr>
                <w:rFonts w:ascii="宋体" w:hAnsi="宋体" w:cs="宋体"/>
                <w:b/>
                <w:bCs/>
              </w:rPr>
              <w:t>13</w:t>
            </w:r>
          </w:p>
        </w:tc>
        <w:tc>
          <w:tcPr>
            <w:tcW w:w="1540" w:type="dxa"/>
            <w:shd w:val="clear" w:color="auto" w:fill="FFFFFF"/>
            <w:vAlign w:val="center"/>
          </w:tcPr>
          <w:p>
            <w:pPr>
              <w:spacing w:line="280" w:lineRule="exact"/>
              <w:jc w:val="center"/>
              <w:rPr>
                <w:rFonts w:ascii="宋体" w:hAnsi="宋体" w:cs="宋体"/>
                <w:b/>
                <w:bCs/>
              </w:rPr>
            </w:pPr>
            <w:r>
              <w:rPr>
                <w:rFonts w:ascii="宋体" w:hAnsi="宋体" w:cs="宋体"/>
                <w:b/>
                <w:bCs/>
              </w:rPr>
              <w:t>3</w:t>
            </w:r>
          </w:p>
        </w:tc>
      </w:tr>
    </w:tbl>
    <w:p>
      <w:pPr>
        <w:spacing w:afterLines="50"/>
        <w:rPr>
          <w:rFonts w:ascii="楷体" w:hAnsi="楷体" w:eastAsia="楷体" w:cs="Times New Roman"/>
          <w:sz w:val="20"/>
          <w:szCs w:val="20"/>
        </w:rPr>
      </w:pPr>
      <w:r>
        <w:rPr>
          <w:rFonts w:hint="eastAsia" w:ascii="楷体" w:hAnsi="楷体" w:eastAsia="楷体" w:cs="楷体"/>
          <w:sz w:val="20"/>
          <w:szCs w:val="20"/>
        </w:rPr>
        <w:t>数据来源：安泰科。注：供需平衡未考虑库存因素</w:t>
      </w:r>
    </w:p>
    <w:p>
      <w:pPr>
        <w:spacing w:line="520" w:lineRule="exact"/>
        <w:jc w:val="center"/>
        <w:rPr>
          <w:rFonts w:ascii="黑体" w:hAnsi="黑体" w:eastAsia="黑体" w:cs="Times New Roman"/>
        </w:rPr>
      </w:pPr>
      <w:r>
        <w:rPr>
          <w:rFonts w:hint="eastAsia" w:ascii="黑体" w:hAnsi="黑体" w:eastAsia="黑体" w:cs="黑体"/>
        </w:rPr>
        <w:t>表</w:t>
      </w:r>
      <w:r>
        <w:rPr>
          <w:rFonts w:ascii="黑体" w:hAnsi="黑体" w:eastAsia="黑体" w:cs="黑体"/>
        </w:rPr>
        <w:t>2-4  2016-2025</w:t>
      </w:r>
      <w:r>
        <w:rPr>
          <w:rFonts w:hint="eastAsia" w:ascii="黑体" w:hAnsi="黑体" w:eastAsia="黑体" w:cs="黑体"/>
        </w:rPr>
        <w:t>年中国精铜供需平衡及预测（单位：万吨铜）</w:t>
      </w:r>
    </w:p>
    <w:tbl>
      <w:tblPr>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
      <w:tblGrid>
        <w:gridCol w:w="1556"/>
        <w:gridCol w:w="1549"/>
        <w:gridCol w:w="1547"/>
        <w:gridCol w:w="1547"/>
        <w:gridCol w:w="1547"/>
        <w:gridCol w:w="1540"/>
      </w:tblGrid>
      <w:tr>
        <w:trPr>
          <w:trHeight w:val="285" w:hRule="atLeast"/>
          <w:jc w:val="center"/>
        </w:trPr>
        <w:tc>
          <w:tcPr>
            <w:tcW w:w="1556" w:type="dxa"/>
            <w:shd w:val="clear" w:color="auto" w:fill="D9D9D9"/>
            <w:vAlign w:val="center"/>
          </w:tcPr>
          <w:p>
            <w:pPr>
              <w:spacing w:line="280" w:lineRule="exact"/>
              <w:jc w:val="center"/>
              <w:rPr>
                <w:rFonts w:ascii="宋体" w:cs="Times New Roman"/>
                <w:b/>
                <w:bCs/>
                <w:u w:val="single"/>
              </w:rPr>
            </w:pPr>
          </w:p>
        </w:tc>
        <w:tc>
          <w:tcPr>
            <w:tcW w:w="1549" w:type="dxa"/>
            <w:shd w:val="clear" w:color="auto" w:fill="D9D9D9"/>
            <w:vAlign w:val="center"/>
          </w:tcPr>
          <w:p>
            <w:pPr>
              <w:spacing w:line="280" w:lineRule="exact"/>
              <w:jc w:val="center"/>
              <w:rPr>
                <w:rFonts w:ascii="宋体" w:hAnsi="宋体" w:cs="宋体"/>
                <w:b/>
                <w:bCs/>
                <w:u w:val="single"/>
              </w:rPr>
            </w:pPr>
            <w:r>
              <w:rPr>
                <w:rFonts w:ascii="宋体" w:hAnsi="宋体" w:cs="宋体"/>
                <w:b/>
                <w:bCs/>
                <w:u w:val="single"/>
              </w:rPr>
              <w:t>2016</w:t>
            </w:r>
          </w:p>
        </w:tc>
        <w:tc>
          <w:tcPr>
            <w:tcW w:w="1547" w:type="dxa"/>
            <w:shd w:val="clear" w:color="auto" w:fill="D9D9D9"/>
            <w:vAlign w:val="center"/>
          </w:tcPr>
          <w:p>
            <w:pPr>
              <w:spacing w:line="280" w:lineRule="exact"/>
              <w:jc w:val="center"/>
              <w:rPr>
                <w:rFonts w:ascii="宋体" w:hAnsi="宋体" w:cs="宋体"/>
                <w:b/>
                <w:bCs/>
                <w:u w:val="single"/>
              </w:rPr>
            </w:pPr>
            <w:r>
              <w:rPr>
                <w:rFonts w:ascii="宋体" w:hAnsi="宋体" w:cs="宋体"/>
                <w:b/>
                <w:bCs/>
                <w:u w:val="single"/>
              </w:rPr>
              <w:t>2017</w:t>
            </w:r>
          </w:p>
        </w:tc>
        <w:tc>
          <w:tcPr>
            <w:tcW w:w="1547" w:type="dxa"/>
            <w:shd w:val="clear" w:color="auto" w:fill="D9D9D9"/>
            <w:vAlign w:val="center"/>
          </w:tcPr>
          <w:p>
            <w:pPr>
              <w:spacing w:line="280" w:lineRule="exact"/>
              <w:jc w:val="center"/>
              <w:rPr>
                <w:rFonts w:ascii="宋体" w:hAnsi="宋体" w:cs="宋体"/>
                <w:b/>
                <w:bCs/>
                <w:u w:val="single"/>
              </w:rPr>
            </w:pPr>
            <w:r>
              <w:rPr>
                <w:rFonts w:ascii="宋体" w:hAnsi="宋体" w:cs="宋体"/>
                <w:b/>
                <w:bCs/>
                <w:u w:val="single"/>
              </w:rPr>
              <w:t>2018</w:t>
            </w:r>
          </w:p>
        </w:tc>
        <w:tc>
          <w:tcPr>
            <w:tcW w:w="1547" w:type="dxa"/>
            <w:shd w:val="clear" w:color="auto" w:fill="D9D9D9"/>
            <w:vAlign w:val="center"/>
          </w:tcPr>
          <w:p>
            <w:pPr>
              <w:spacing w:line="280" w:lineRule="exact"/>
              <w:jc w:val="center"/>
              <w:rPr>
                <w:rFonts w:ascii="宋体" w:hAnsi="宋体" w:cs="宋体"/>
                <w:b/>
                <w:bCs/>
                <w:u w:val="single"/>
              </w:rPr>
            </w:pPr>
            <w:r>
              <w:rPr>
                <w:rFonts w:ascii="宋体" w:hAnsi="宋体" w:cs="宋体"/>
                <w:b/>
                <w:bCs/>
                <w:u w:val="single"/>
              </w:rPr>
              <w:t>2019</w:t>
            </w:r>
          </w:p>
        </w:tc>
        <w:tc>
          <w:tcPr>
            <w:tcW w:w="1540" w:type="dxa"/>
            <w:shd w:val="clear" w:color="auto" w:fill="D9D9D9"/>
            <w:vAlign w:val="top"/>
          </w:tcPr>
          <w:p>
            <w:pPr>
              <w:spacing w:line="280" w:lineRule="exact"/>
              <w:jc w:val="center"/>
              <w:rPr>
                <w:rFonts w:ascii="宋体" w:hAnsi="宋体" w:cs="宋体"/>
                <w:b/>
                <w:bCs/>
                <w:u w:val="single"/>
              </w:rPr>
            </w:pPr>
            <w:r>
              <w:rPr>
                <w:rFonts w:ascii="宋体" w:hAnsi="宋体" w:cs="宋体"/>
                <w:b/>
                <w:bCs/>
                <w:u w:val="single"/>
              </w:rPr>
              <w:t>2020</w:t>
            </w:r>
          </w:p>
        </w:tc>
      </w:tr>
      <w:tr>
        <w:trPr>
          <w:trHeight w:val="285" w:hRule="atLeast"/>
          <w:jc w:val="center"/>
        </w:trPr>
        <w:tc>
          <w:tcPr>
            <w:tcW w:w="1556" w:type="dxa"/>
            <w:shd w:val="clear" w:color="auto" w:fill="FFFFFF"/>
            <w:vAlign w:val="center"/>
          </w:tcPr>
          <w:p>
            <w:pPr>
              <w:spacing w:line="280" w:lineRule="exact"/>
              <w:jc w:val="center"/>
              <w:rPr>
                <w:rFonts w:ascii="宋体" w:cs="Times New Roman"/>
              </w:rPr>
            </w:pPr>
            <w:r>
              <w:rPr>
                <w:rFonts w:hint="eastAsia" w:ascii="宋体" w:hAnsi="宋体" w:cs="宋体"/>
              </w:rPr>
              <w:t>产量</w:t>
            </w:r>
          </w:p>
        </w:tc>
        <w:tc>
          <w:tcPr>
            <w:tcW w:w="1549" w:type="dxa"/>
            <w:shd w:val="clear" w:color="auto" w:fill="FFFFFF"/>
            <w:vAlign w:val="center"/>
          </w:tcPr>
          <w:p>
            <w:pPr>
              <w:spacing w:line="280" w:lineRule="exact"/>
              <w:jc w:val="center"/>
              <w:rPr>
                <w:rFonts w:ascii="宋体" w:hAnsi="宋体" w:cs="宋体"/>
              </w:rPr>
            </w:pPr>
            <w:r>
              <w:rPr>
                <w:rFonts w:ascii="宋体" w:hAnsi="宋体" w:cs="宋体"/>
              </w:rPr>
              <w:t>764.8</w:t>
            </w:r>
          </w:p>
        </w:tc>
        <w:tc>
          <w:tcPr>
            <w:tcW w:w="1547" w:type="dxa"/>
            <w:shd w:val="clear" w:color="auto" w:fill="FFFFFF"/>
            <w:vAlign w:val="center"/>
          </w:tcPr>
          <w:p>
            <w:pPr>
              <w:spacing w:line="280" w:lineRule="exact"/>
              <w:jc w:val="center"/>
              <w:rPr>
                <w:rFonts w:ascii="宋体" w:hAnsi="宋体" w:cs="宋体"/>
              </w:rPr>
            </w:pPr>
            <w:r>
              <w:rPr>
                <w:rFonts w:ascii="宋体" w:hAnsi="宋体" w:cs="宋体"/>
              </w:rPr>
              <w:t>800.7</w:t>
            </w:r>
          </w:p>
        </w:tc>
        <w:tc>
          <w:tcPr>
            <w:tcW w:w="1547" w:type="dxa"/>
            <w:shd w:val="clear" w:color="auto" w:fill="FFFFFF"/>
            <w:vAlign w:val="center"/>
          </w:tcPr>
          <w:p>
            <w:pPr>
              <w:spacing w:line="280" w:lineRule="exact"/>
              <w:jc w:val="center"/>
              <w:rPr>
                <w:rFonts w:ascii="宋体" w:hAnsi="宋体" w:cs="宋体"/>
              </w:rPr>
            </w:pPr>
            <w:r>
              <w:rPr>
                <w:rFonts w:ascii="宋体" w:hAnsi="宋体" w:cs="宋体"/>
              </w:rPr>
              <w:t>844.2</w:t>
            </w:r>
          </w:p>
        </w:tc>
        <w:tc>
          <w:tcPr>
            <w:tcW w:w="1547" w:type="dxa"/>
            <w:shd w:val="clear" w:color="auto" w:fill="FFFFFF"/>
            <w:vAlign w:val="center"/>
          </w:tcPr>
          <w:p>
            <w:pPr>
              <w:spacing w:line="280" w:lineRule="exact"/>
              <w:jc w:val="center"/>
              <w:rPr>
                <w:rFonts w:ascii="宋体" w:hAnsi="宋体" w:cs="宋体"/>
              </w:rPr>
            </w:pPr>
            <w:r>
              <w:rPr>
                <w:rFonts w:ascii="宋体" w:hAnsi="宋体" w:cs="宋体"/>
              </w:rPr>
              <w:t>896.2</w:t>
            </w:r>
          </w:p>
        </w:tc>
        <w:tc>
          <w:tcPr>
            <w:tcW w:w="1540" w:type="dxa"/>
            <w:shd w:val="clear" w:color="auto" w:fill="FFFFFF"/>
            <w:vAlign w:val="center"/>
          </w:tcPr>
          <w:p>
            <w:pPr>
              <w:spacing w:line="280" w:lineRule="exact"/>
              <w:jc w:val="center"/>
              <w:rPr>
                <w:rFonts w:ascii="宋体" w:hAnsi="宋体" w:cs="宋体"/>
              </w:rPr>
            </w:pPr>
            <w:r>
              <w:rPr>
                <w:rFonts w:ascii="宋体" w:hAnsi="宋体" w:cs="宋体"/>
              </w:rPr>
              <w:t>901.9</w:t>
            </w:r>
          </w:p>
        </w:tc>
      </w:tr>
      <w:tr>
        <w:trPr>
          <w:trHeight w:val="285" w:hRule="atLeast"/>
          <w:jc w:val="center"/>
        </w:trPr>
        <w:tc>
          <w:tcPr>
            <w:tcW w:w="1556" w:type="dxa"/>
            <w:shd w:val="clear" w:color="auto" w:fill="FFFFFF"/>
            <w:vAlign w:val="center"/>
          </w:tcPr>
          <w:p>
            <w:pPr>
              <w:spacing w:line="280" w:lineRule="exact"/>
              <w:jc w:val="center"/>
              <w:rPr>
                <w:rFonts w:ascii="宋体" w:cs="Times New Roman"/>
              </w:rPr>
            </w:pPr>
            <w:r>
              <w:rPr>
                <w:rFonts w:hint="eastAsia" w:ascii="宋体" w:hAnsi="宋体" w:cs="宋体"/>
              </w:rPr>
              <w:t>消费量</w:t>
            </w:r>
          </w:p>
        </w:tc>
        <w:tc>
          <w:tcPr>
            <w:tcW w:w="1549" w:type="dxa"/>
            <w:shd w:val="clear" w:color="auto" w:fill="FFFFFF"/>
            <w:vAlign w:val="center"/>
          </w:tcPr>
          <w:p>
            <w:pPr>
              <w:spacing w:line="280" w:lineRule="exact"/>
              <w:jc w:val="center"/>
              <w:rPr>
                <w:rFonts w:ascii="宋体" w:hAnsi="宋体" w:cs="宋体"/>
              </w:rPr>
            </w:pPr>
            <w:r>
              <w:rPr>
                <w:rFonts w:ascii="宋体" w:hAnsi="宋体" w:cs="宋体"/>
              </w:rPr>
              <w:t>1031</w:t>
            </w:r>
          </w:p>
        </w:tc>
        <w:tc>
          <w:tcPr>
            <w:tcW w:w="1547" w:type="dxa"/>
            <w:shd w:val="clear" w:color="auto" w:fill="FFFFFF"/>
            <w:vAlign w:val="center"/>
          </w:tcPr>
          <w:p>
            <w:pPr>
              <w:spacing w:line="280" w:lineRule="exact"/>
              <w:jc w:val="center"/>
              <w:rPr>
                <w:rFonts w:ascii="宋体" w:hAnsi="宋体" w:cs="宋体"/>
              </w:rPr>
            </w:pPr>
            <w:r>
              <w:rPr>
                <w:rFonts w:ascii="宋体" w:hAnsi="宋体" w:cs="宋体"/>
              </w:rPr>
              <w:t>1074</w:t>
            </w:r>
          </w:p>
        </w:tc>
        <w:tc>
          <w:tcPr>
            <w:tcW w:w="1547" w:type="dxa"/>
            <w:shd w:val="clear" w:color="auto" w:fill="FFFFFF"/>
            <w:vAlign w:val="center"/>
          </w:tcPr>
          <w:p>
            <w:pPr>
              <w:spacing w:line="280" w:lineRule="exact"/>
              <w:jc w:val="center"/>
              <w:rPr>
                <w:rFonts w:ascii="宋体" w:hAnsi="宋体" w:cs="宋体"/>
              </w:rPr>
            </w:pPr>
            <w:r>
              <w:rPr>
                <w:rFonts w:ascii="宋体" w:hAnsi="宋体" w:cs="宋体"/>
              </w:rPr>
              <w:t>1117</w:t>
            </w:r>
          </w:p>
        </w:tc>
        <w:tc>
          <w:tcPr>
            <w:tcW w:w="1547" w:type="dxa"/>
            <w:shd w:val="clear" w:color="auto" w:fill="FFFFFF"/>
            <w:vAlign w:val="center"/>
          </w:tcPr>
          <w:p>
            <w:pPr>
              <w:spacing w:line="280" w:lineRule="exact"/>
              <w:jc w:val="center"/>
              <w:rPr>
                <w:rFonts w:ascii="宋体" w:hAnsi="宋体" w:cs="宋体"/>
              </w:rPr>
            </w:pPr>
            <w:r>
              <w:rPr>
                <w:rFonts w:ascii="宋体" w:hAnsi="宋体" w:cs="宋体"/>
              </w:rPr>
              <w:t>1126</w:t>
            </w:r>
          </w:p>
        </w:tc>
        <w:tc>
          <w:tcPr>
            <w:tcW w:w="1540" w:type="dxa"/>
            <w:shd w:val="clear" w:color="auto" w:fill="FFFFFF"/>
            <w:vAlign w:val="center"/>
          </w:tcPr>
          <w:p>
            <w:pPr>
              <w:spacing w:line="280" w:lineRule="exact"/>
              <w:jc w:val="center"/>
              <w:rPr>
                <w:rFonts w:ascii="宋体" w:hAnsi="宋体" w:cs="宋体"/>
              </w:rPr>
            </w:pPr>
            <w:r>
              <w:rPr>
                <w:rFonts w:ascii="宋体" w:hAnsi="宋体" w:cs="宋体"/>
              </w:rPr>
              <w:t>1198</w:t>
            </w:r>
          </w:p>
        </w:tc>
      </w:tr>
      <w:tr>
        <w:trPr>
          <w:trHeight w:val="285" w:hRule="atLeast"/>
          <w:jc w:val="center"/>
        </w:trPr>
        <w:tc>
          <w:tcPr>
            <w:tcW w:w="1556" w:type="dxa"/>
            <w:shd w:val="clear" w:color="auto" w:fill="FFFFFF"/>
            <w:vAlign w:val="center"/>
          </w:tcPr>
          <w:p>
            <w:pPr>
              <w:spacing w:line="280" w:lineRule="exact"/>
              <w:jc w:val="center"/>
              <w:rPr>
                <w:rFonts w:ascii="宋体" w:cs="Times New Roman"/>
                <w:b/>
                <w:bCs/>
              </w:rPr>
            </w:pPr>
            <w:r>
              <w:rPr>
                <w:rFonts w:hint="eastAsia" w:ascii="宋体" w:hAnsi="宋体" w:cs="宋体"/>
                <w:b/>
                <w:bCs/>
              </w:rPr>
              <w:t>产消平衡</w:t>
            </w:r>
          </w:p>
        </w:tc>
        <w:tc>
          <w:tcPr>
            <w:tcW w:w="1549" w:type="dxa"/>
            <w:shd w:val="clear" w:color="auto" w:fill="FFFFFF"/>
            <w:vAlign w:val="center"/>
          </w:tcPr>
          <w:p>
            <w:pPr>
              <w:spacing w:line="280" w:lineRule="exact"/>
              <w:jc w:val="center"/>
              <w:rPr>
                <w:rFonts w:ascii="宋体" w:hAnsi="宋体" w:cs="宋体"/>
                <w:b/>
                <w:bCs/>
              </w:rPr>
            </w:pPr>
            <w:r>
              <w:rPr>
                <w:rFonts w:ascii="宋体" w:hAnsi="宋体" w:cs="宋体"/>
                <w:b/>
                <w:bCs/>
              </w:rPr>
              <w:t>-266.2</w:t>
            </w:r>
          </w:p>
        </w:tc>
        <w:tc>
          <w:tcPr>
            <w:tcW w:w="1547" w:type="dxa"/>
            <w:shd w:val="clear" w:color="auto" w:fill="FFFFFF"/>
            <w:vAlign w:val="center"/>
          </w:tcPr>
          <w:p>
            <w:pPr>
              <w:spacing w:line="280" w:lineRule="exact"/>
              <w:jc w:val="center"/>
              <w:rPr>
                <w:rFonts w:ascii="宋体" w:hAnsi="宋体" w:cs="宋体"/>
                <w:b/>
                <w:bCs/>
              </w:rPr>
            </w:pPr>
            <w:r>
              <w:rPr>
                <w:rFonts w:ascii="宋体" w:hAnsi="宋体" w:cs="宋体"/>
                <w:b/>
                <w:bCs/>
              </w:rPr>
              <w:t>-273.3</w:t>
            </w:r>
          </w:p>
        </w:tc>
        <w:tc>
          <w:tcPr>
            <w:tcW w:w="1547" w:type="dxa"/>
            <w:shd w:val="clear" w:color="auto" w:fill="FFFFFF"/>
            <w:vAlign w:val="center"/>
          </w:tcPr>
          <w:p>
            <w:pPr>
              <w:spacing w:line="280" w:lineRule="exact"/>
              <w:jc w:val="center"/>
              <w:rPr>
                <w:rFonts w:ascii="宋体" w:hAnsi="宋体" w:cs="宋体"/>
                <w:b/>
                <w:bCs/>
              </w:rPr>
            </w:pPr>
            <w:r>
              <w:rPr>
                <w:rFonts w:ascii="宋体" w:hAnsi="宋体" w:cs="宋体"/>
                <w:b/>
                <w:bCs/>
              </w:rPr>
              <w:t>-272.8</w:t>
            </w:r>
          </w:p>
        </w:tc>
        <w:tc>
          <w:tcPr>
            <w:tcW w:w="1547" w:type="dxa"/>
            <w:shd w:val="clear" w:color="auto" w:fill="FFFFFF"/>
            <w:vAlign w:val="center"/>
          </w:tcPr>
          <w:p>
            <w:pPr>
              <w:spacing w:line="280" w:lineRule="exact"/>
              <w:jc w:val="center"/>
              <w:rPr>
                <w:rFonts w:ascii="宋体" w:hAnsi="宋体" w:cs="宋体"/>
                <w:b/>
                <w:bCs/>
              </w:rPr>
            </w:pPr>
            <w:r>
              <w:rPr>
                <w:rFonts w:ascii="宋体" w:hAnsi="宋体" w:cs="宋体"/>
                <w:b/>
                <w:bCs/>
              </w:rPr>
              <w:t>-229.8</w:t>
            </w:r>
          </w:p>
        </w:tc>
        <w:tc>
          <w:tcPr>
            <w:tcW w:w="1540" w:type="dxa"/>
            <w:shd w:val="clear" w:color="auto" w:fill="FFFFFF"/>
            <w:vAlign w:val="center"/>
          </w:tcPr>
          <w:p>
            <w:pPr>
              <w:spacing w:line="280" w:lineRule="exact"/>
              <w:jc w:val="center"/>
              <w:rPr>
                <w:rFonts w:ascii="宋体" w:hAnsi="宋体" w:cs="宋体"/>
                <w:b/>
                <w:bCs/>
              </w:rPr>
            </w:pPr>
            <w:r>
              <w:rPr>
                <w:rFonts w:ascii="宋体" w:hAnsi="宋体" w:cs="宋体"/>
                <w:b/>
                <w:bCs/>
              </w:rPr>
              <w:t>-296.1</w:t>
            </w:r>
          </w:p>
        </w:tc>
      </w:tr>
      <w:tr>
        <w:trPr>
          <w:trHeight w:val="285" w:hRule="atLeast"/>
          <w:jc w:val="center"/>
        </w:trPr>
        <w:tc>
          <w:tcPr>
            <w:tcW w:w="1556" w:type="dxa"/>
            <w:shd w:val="clear" w:color="auto" w:fill="D9D9D9"/>
            <w:vAlign w:val="center"/>
          </w:tcPr>
          <w:p>
            <w:pPr>
              <w:spacing w:line="280" w:lineRule="exact"/>
              <w:jc w:val="center"/>
              <w:rPr>
                <w:rFonts w:ascii="宋体" w:cs="Times New Roman"/>
                <w:b/>
                <w:bCs/>
              </w:rPr>
            </w:pPr>
          </w:p>
        </w:tc>
        <w:tc>
          <w:tcPr>
            <w:tcW w:w="1549" w:type="dxa"/>
            <w:shd w:val="clear" w:color="auto" w:fill="D9D9D9"/>
            <w:vAlign w:val="center"/>
          </w:tcPr>
          <w:p>
            <w:pPr>
              <w:spacing w:line="280" w:lineRule="exact"/>
              <w:jc w:val="center"/>
              <w:rPr>
                <w:rFonts w:ascii="宋体" w:hAnsi="宋体" w:cs="宋体"/>
                <w:b/>
                <w:bCs/>
                <w:u w:val="single"/>
              </w:rPr>
            </w:pPr>
            <w:r>
              <w:rPr>
                <w:rFonts w:ascii="宋体" w:hAnsi="宋体" w:cs="宋体"/>
                <w:b/>
                <w:bCs/>
                <w:u w:val="single"/>
              </w:rPr>
              <w:t>2021</w:t>
            </w:r>
          </w:p>
        </w:tc>
        <w:tc>
          <w:tcPr>
            <w:tcW w:w="1547" w:type="dxa"/>
            <w:shd w:val="clear" w:color="auto" w:fill="D9D9D9"/>
            <w:vAlign w:val="center"/>
          </w:tcPr>
          <w:p>
            <w:pPr>
              <w:spacing w:line="280" w:lineRule="exact"/>
              <w:jc w:val="center"/>
              <w:rPr>
                <w:rFonts w:ascii="宋体" w:hAnsi="宋体" w:cs="宋体"/>
                <w:b/>
                <w:bCs/>
                <w:u w:val="single"/>
              </w:rPr>
            </w:pPr>
            <w:r>
              <w:rPr>
                <w:rFonts w:ascii="宋体" w:hAnsi="宋体" w:cs="宋体"/>
                <w:b/>
                <w:bCs/>
                <w:u w:val="single"/>
              </w:rPr>
              <w:t>2022</w:t>
            </w:r>
          </w:p>
        </w:tc>
        <w:tc>
          <w:tcPr>
            <w:tcW w:w="1547" w:type="dxa"/>
            <w:shd w:val="clear" w:color="auto" w:fill="D9D9D9"/>
            <w:vAlign w:val="center"/>
          </w:tcPr>
          <w:p>
            <w:pPr>
              <w:spacing w:line="280" w:lineRule="exact"/>
              <w:jc w:val="center"/>
              <w:rPr>
                <w:rFonts w:ascii="宋体" w:hAnsi="宋体" w:cs="宋体"/>
                <w:b/>
                <w:bCs/>
                <w:u w:val="single"/>
              </w:rPr>
            </w:pPr>
            <w:r>
              <w:rPr>
                <w:rFonts w:ascii="宋体" w:hAnsi="宋体" w:cs="宋体"/>
                <w:b/>
                <w:bCs/>
                <w:u w:val="single"/>
              </w:rPr>
              <w:t>2023</w:t>
            </w:r>
          </w:p>
        </w:tc>
        <w:tc>
          <w:tcPr>
            <w:tcW w:w="1547" w:type="dxa"/>
            <w:shd w:val="clear" w:color="auto" w:fill="D9D9D9"/>
            <w:vAlign w:val="center"/>
          </w:tcPr>
          <w:p>
            <w:pPr>
              <w:spacing w:line="280" w:lineRule="exact"/>
              <w:jc w:val="center"/>
              <w:rPr>
                <w:rFonts w:ascii="宋体" w:hAnsi="宋体" w:cs="宋体"/>
                <w:b/>
                <w:bCs/>
                <w:u w:val="single"/>
              </w:rPr>
            </w:pPr>
            <w:r>
              <w:rPr>
                <w:rFonts w:ascii="宋体" w:hAnsi="宋体" w:cs="宋体"/>
                <w:b/>
                <w:bCs/>
                <w:u w:val="single"/>
              </w:rPr>
              <w:t>2024</w:t>
            </w:r>
          </w:p>
        </w:tc>
        <w:tc>
          <w:tcPr>
            <w:tcW w:w="1540" w:type="dxa"/>
            <w:shd w:val="clear" w:color="auto" w:fill="D9D9D9"/>
            <w:vAlign w:val="top"/>
          </w:tcPr>
          <w:p>
            <w:pPr>
              <w:spacing w:line="280" w:lineRule="exact"/>
              <w:jc w:val="center"/>
              <w:rPr>
                <w:rFonts w:ascii="宋体" w:hAnsi="宋体" w:cs="宋体"/>
                <w:b/>
                <w:bCs/>
                <w:u w:val="single"/>
              </w:rPr>
            </w:pPr>
            <w:r>
              <w:rPr>
                <w:rFonts w:ascii="宋体" w:hAnsi="宋体" w:cs="宋体"/>
                <w:b/>
                <w:bCs/>
                <w:u w:val="single"/>
              </w:rPr>
              <w:t>2025</w:t>
            </w:r>
          </w:p>
        </w:tc>
      </w:tr>
      <w:tr>
        <w:trPr>
          <w:trHeight w:val="285" w:hRule="atLeast"/>
          <w:jc w:val="center"/>
        </w:trPr>
        <w:tc>
          <w:tcPr>
            <w:tcW w:w="1556" w:type="dxa"/>
            <w:shd w:val="clear" w:color="auto" w:fill="FFFFFF"/>
            <w:vAlign w:val="center"/>
          </w:tcPr>
          <w:p>
            <w:pPr>
              <w:spacing w:line="280" w:lineRule="exact"/>
              <w:jc w:val="center"/>
              <w:rPr>
                <w:rFonts w:ascii="宋体" w:cs="Times New Roman"/>
                <w:b/>
                <w:bCs/>
              </w:rPr>
            </w:pPr>
            <w:r>
              <w:rPr>
                <w:rFonts w:hint="eastAsia" w:ascii="宋体" w:hAnsi="宋体" w:cs="宋体"/>
              </w:rPr>
              <w:t>产量</w:t>
            </w:r>
          </w:p>
        </w:tc>
        <w:tc>
          <w:tcPr>
            <w:tcW w:w="1549" w:type="dxa"/>
            <w:shd w:val="clear" w:color="auto" w:fill="FFFFFF"/>
            <w:vAlign w:val="center"/>
          </w:tcPr>
          <w:p>
            <w:pPr>
              <w:spacing w:line="280" w:lineRule="exact"/>
              <w:jc w:val="center"/>
              <w:rPr>
                <w:rFonts w:ascii="宋体" w:hAnsi="宋体" w:cs="宋体"/>
              </w:rPr>
            </w:pPr>
            <w:r>
              <w:rPr>
                <w:rFonts w:ascii="宋体" w:hAnsi="宋体" w:cs="宋体"/>
              </w:rPr>
              <w:t>940</w:t>
            </w:r>
          </w:p>
        </w:tc>
        <w:tc>
          <w:tcPr>
            <w:tcW w:w="1547" w:type="dxa"/>
            <w:shd w:val="clear" w:color="auto" w:fill="FFFFFF"/>
            <w:vAlign w:val="center"/>
          </w:tcPr>
          <w:p>
            <w:pPr>
              <w:spacing w:line="280" w:lineRule="exact"/>
              <w:jc w:val="center"/>
              <w:rPr>
                <w:rFonts w:ascii="宋体" w:hAnsi="宋体" w:cs="宋体"/>
              </w:rPr>
            </w:pPr>
            <w:r>
              <w:rPr>
                <w:rFonts w:ascii="宋体" w:hAnsi="宋体" w:cs="宋体"/>
              </w:rPr>
              <w:t>981</w:t>
            </w:r>
          </w:p>
        </w:tc>
        <w:tc>
          <w:tcPr>
            <w:tcW w:w="1547" w:type="dxa"/>
            <w:shd w:val="clear" w:color="auto" w:fill="FFFFFF"/>
            <w:vAlign w:val="center"/>
          </w:tcPr>
          <w:p>
            <w:pPr>
              <w:spacing w:line="280" w:lineRule="exact"/>
              <w:jc w:val="center"/>
              <w:rPr>
                <w:rFonts w:ascii="宋体" w:hAnsi="宋体" w:cs="宋体"/>
              </w:rPr>
            </w:pPr>
            <w:r>
              <w:rPr>
                <w:rFonts w:ascii="宋体" w:hAnsi="宋体" w:cs="宋体"/>
              </w:rPr>
              <w:t>1002</w:t>
            </w:r>
          </w:p>
        </w:tc>
        <w:tc>
          <w:tcPr>
            <w:tcW w:w="1547" w:type="dxa"/>
            <w:shd w:val="clear" w:color="auto" w:fill="FFFFFF"/>
            <w:vAlign w:val="center"/>
          </w:tcPr>
          <w:p>
            <w:pPr>
              <w:spacing w:line="280" w:lineRule="exact"/>
              <w:jc w:val="center"/>
              <w:rPr>
                <w:rFonts w:ascii="宋体" w:hAnsi="宋体" w:cs="宋体"/>
              </w:rPr>
            </w:pPr>
            <w:r>
              <w:rPr>
                <w:rFonts w:ascii="宋体" w:hAnsi="宋体" w:cs="宋体"/>
              </w:rPr>
              <w:t>1025</w:t>
            </w:r>
          </w:p>
        </w:tc>
        <w:tc>
          <w:tcPr>
            <w:tcW w:w="1540" w:type="dxa"/>
            <w:shd w:val="clear" w:color="auto" w:fill="FFFFFF"/>
            <w:vAlign w:val="center"/>
          </w:tcPr>
          <w:p>
            <w:pPr>
              <w:spacing w:line="280" w:lineRule="exact"/>
              <w:jc w:val="center"/>
              <w:rPr>
                <w:rFonts w:ascii="宋体" w:hAnsi="宋体" w:cs="宋体"/>
              </w:rPr>
            </w:pPr>
            <w:r>
              <w:rPr>
                <w:rFonts w:ascii="宋体" w:hAnsi="宋体" w:cs="宋体"/>
              </w:rPr>
              <w:t>1040</w:t>
            </w:r>
          </w:p>
        </w:tc>
      </w:tr>
      <w:tr>
        <w:trPr>
          <w:trHeight w:val="285" w:hRule="atLeast"/>
          <w:jc w:val="center"/>
        </w:trPr>
        <w:tc>
          <w:tcPr>
            <w:tcW w:w="1556" w:type="dxa"/>
            <w:shd w:val="clear" w:color="auto" w:fill="FFFFFF"/>
            <w:vAlign w:val="center"/>
          </w:tcPr>
          <w:p>
            <w:pPr>
              <w:spacing w:line="280" w:lineRule="exact"/>
              <w:jc w:val="center"/>
              <w:rPr>
                <w:rFonts w:ascii="宋体" w:cs="Times New Roman"/>
                <w:b/>
                <w:bCs/>
              </w:rPr>
            </w:pPr>
            <w:r>
              <w:rPr>
                <w:rFonts w:hint="eastAsia" w:ascii="宋体" w:hAnsi="宋体" w:cs="宋体"/>
              </w:rPr>
              <w:t>消费量</w:t>
            </w:r>
          </w:p>
        </w:tc>
        <w:tc>
          <w:tcPr>
            <w:tcW w:w="1549" w:type="dxa"/>
            <w:shd w:val="clear" w:color="auto" w:fill="FFFFFF"/>
            <w:vAlign w:val="center"/>
          </w:tcPr>
          <w:p>
            <w:pPr>
              <w:spacing w:line="280" w:lineRule="exact"/>
              <w:jc w:val="center"/>
              <w:rPr>
                <w:rFonts w:ascii="宋体" w:hAnsi="宋体" w:cs="宋体"/>
              </w:rPr>
            </w:pPr>
            <w:r>
              <w:rPr>
                <w:rFonts w:ascii="宋体" w:hAnsi="宋体" w:cs="宋体"/>
              </w:rPr>
              <w:t>1242</w:t>
            </w:r>
          </w:p>
        </w:tc>
        <w:tc>
          <w:tcPr>
            <w:tcW w:w="1547" w:type="dxa"/>
            <w:shd w:val="clear" w:color="auto" w:fill="FFFFFF"/>
            <w:vAlign w:val="center"/>
          </w:tcPr>
          <w:p>
            <w:pPr>
              <w:spacing w:line="280" w:lineRule="exact"/>
              <w:jc w:val="center"/>
              <w:rPr>
                <w:rFonts w:ascii="宋体" w:hAnsi="宋体" w:cs="宋体"/>
              </w:rPr>
            </w:pPr>
            <w:r>
              <w:rPr>
                <w:rFonts w:ascii="宋体" w:hAnsi="宋体" w:cs="宋体"/>
              </w:rPr>
              <w:t>1267</w:t>
            </w:r>
          </w:p>
        </w:tc>
        <w:tc>
          <w:tcPr>
            <w:tcW w:w="1547" w:type="dxa"/>
            <w:shd w:val="clear" w:color="auto" w:fill="FFFFFF"/>
            <w:vAlign w:val="center"/>
          </w:tcPr>
          <w:p>
            <w:pPr>
              <w:spacing w:line="280" w:lineRule="exact"/>
              <w:jc w:val="center"/>
              <w:rPr>
                <w:rFonts w:ascii="宋体" w:hAnsi="宋体" w:cs="宋体"/>
              </w:rPr>
            </w:pPr>
            <w:r>
              <w:rPr>
                <w:rFonts w:ascii="宋体" w:hAnsi="宋体" w:cs="宋体"/>
              </w:rPr>
              <w:t>1290</w:t>
            </w:r>
          </w:p>
        </w:tc>
        <w:tc>
          <w:tcPr>
            <w:tcW w:w="1547" w:type="dxa"/>
            <w:shd w:val="clear" w:color="auto" w:fill="FFFFFF"/>
            <w:vAlign w:val="center"/>
          </w:tcPr>
          <w:p>
            <w:pPr>
              <w:spacing w:line="280" w:lineRule="exact"/>
              <w:jc w:val="center"/>
              <w:rPr>
                <w:rFonts w:ascii="宋体" w:hAnsi="宋体" w:cs="宋体"/>
              </w:rPr>
            </w:pPr>
            <w:r>
              <w:rPr>
                <w:rFonts w:ascii="宋体" w:hAnsi="宋体" w:cs="宋体"/>
              </w:rPr>
              <w:t>1309</w:t>
            </w:r>
          </w:p>
        </w:tc>
        <w:tc>
          <w:tcPr>
            <w:tcW w:w="1540" w:type="dxa"/>
            <w:shd w:val="clear" w:color="auto" w:fill="FFFFFF"/>
            <w:vAlign w:val="center"/>
          </w:tcPr>
          <w:p>
            <w:pPr>
              <w:spacing w:line="280" w:lineRule="exact"/>
              <w:jc w:val="center"/>
              <w:rPr>
                <w:rFonts w:ascii="宋体" w:hAnsi="宋体" w:cs="宋体"/>
              </w:rPr>
            </w:pPr>
            <w:r>
              <w:rPr>
                <w:rFonts w:ascii="宋体" w:hAnsi="宋体" w:cs="宋体"/>
              </w:rPr>
              <w:t>1325</w:t>
            </w:r>
          </w:p>
        </w:tc>
      </w:tr>
      <w:tr>
        <w:trPr>
          <w:trHeight w:val="285" w:hRule="atLeast"/>
          <w:jc w:val="center"/>
        </w:trPr>
        <w:tc>
          <w:tcPr>
            <w:tcW w:w="1556" w:type="dxa"/>
            <w:shd w:val="clear" w:color="auto" w:fill="FFFFFF"/>
            <w:vAlign w:val="center"/>
          </w:tcPr>
          <w:p>
            <w:pPr>
              <w:spacing w:line="280" w:lineRule="exact"/>
              <w:jc w:val="center"/>
              <w:rPr>
                <w:rFonts w:ascii="宋体" w:cs="Times New Roman"/>
                <w:b/>
                <w:bCs/>
              </w:rPr>
            </w:pPr>
            <w:r>
              <w:rPr>
                <w:rFonts w:hint="eastAsia" w:ascii="宋体" w:hAnsi="宋体" w:cs="宋体"/>
                <w:b/>
                <w:bCs/>
              </w:rPr>
              <w:t>产消平衡</w:t>
            </w:r>
          </w:p>
        </w:tc>
        <w:tc>
          <w:tcPr>
            <w:tcW w:w="1549" w:type="dxa"/>
            <w:shd w:val="clear" w:color="auto" w:fill="FFFFFF"/>
            <w:vAlign w:val="center"/>
          </w:tcPr>
          <w:p>
            <w:pPr>
              <w:spacing w:line="280" w:lineRule="exact"/>
              <w:jc w:val="center"/>
              <w:rPr>
                <w:rFonts w:ascii="宋体" w:hAnsi="宋体" w:cs="宋体"/>
                <w:b/>
                <w:bCs/>
              </w:rPr>
            </w:pPr>
            <w:r>
              <w:rPr>
                <w:rFonts w:ascii="宋体" w:hAnsi="宋体" w:cs="宋体"/>
                <w:b/>
                <w:bCs/>
              </w:rPr>
              <w:t>-302</w:t>
            </w:r>
          </w:p>
        </w:tc>
        <w:tc>
          <w:tcPr>
            <w:tcW w:w="1547" w:type="dxa"/>
            <w:shd w:val="clear" w:color="auto" w:fill="FFFFFF"/>
            <w:vAlign w:val="center"/>
          </w:tcPr>
          <w:p>
            <w:pPr>
              <w:spacing w:line="280" w:lineRule="exact"/>
              <w:jc w:val="center"/>
              <w:rPr>
                <w:rFonts w:ascii="宋体" w:hAnsi="宋体" w:cs="宋体"/>
                <w:b/>
                <w:bCs/>
              </w:rPr>
            </w:pPr>
            <w:r>
              <w:rPr>
                <w:rFonts w:ascii="宋体" w:hAnsi="宋体" w:cs="宋体"/>
                <w:b/>
                <w:bCs/>
              </w:rPr>
              <w:t>-286</w:t>
            </w:r>
          </w:p>
        </w:tc>
        <w:tc>
          <w:tcPr>
            <w:tcW w:w="1547" w:type="dxa"/>
            <w:shd w:val="clear" w:color="auto" w:fill="FFFFFF"/>
            <w:vAlign w:val="center"/>
          </w:tcPr>
          <w:p>
            <w:pPr>
              <w:spacing w:line="280" w:lineRule="exact"/>
              <w:jc w:val="center"/>
              <w:rPr>
                <w:rFonts w:ascii="宋体" w:hAnsi="宋体" w:cs="宋体"/>
                <w:b/>
                <w:bCs/>
              </w:rPr>
            </w:pPr>
            <w:r>
              <w:rPr>
                <w:rFonts w:ascii="宋体" w:hAnsi="宋体" w:cs="宋体"/>
                <w:b/>
                <w:bCs/>
              </w:rPr>
              <w:t>-288</w:t>
            </w:r>
          </w:p>
        </w:tc>
        <w:tc>
          <w:tcPr>
            <w:tcW w:w="1547" w:type="dxa"/>
            <w:shd w:val="clear" w:color="auto" w:fill="FFFFFF"/>
            <w:vAlign w:val="center"/>
          </w:tcPr>
          <w:p>
            <w:pPr>
              <w:spacing w:line="280" w:lineRule="exact"/>
              <w:jc w:val="center"/>
              <w:rPr>
                <w:rFonts w:ascii="宋体" w:hAnsi="宋体" w:cs="宋体"/>
                <w:b/>
                <w:bCs/>
              </w:rPr>
            </w:pPr>
            <w:r>
              <w:rPr>
                <w:rFonts w:ascii="宋体" w:hAnsi="宋体" w:cs="宋体"/>
                <w:b/>
                <w:bCs/>
              </w:rPr>
              <w:t>-284</w:t>
            </w:r>
          </w:p>
        </w:tc>
        <w:tc>
          <w:tcPr>
            <w:tcW w:w="1540" w:type="dxa"/>
            <w:shd w:val="clear" w:color="auto" w:fill="FFFFFF"/>
            <w:vAlign w:val="center"/>
          </w:tcPr>
          <w:p>
            <w:pPr>
              <w:spacing w:line="280" w:lineRule="exact"/>
              <w:jc w:val="center"/>
              <w:rPr>
                <w:rFonts w:ascii="宋体" w:hAnsi="宋体" w:cs="宋体"/>
                <w:b/>
                <w:bCs/>
              </w:rPr>
            </w:pPr>
            <w:r>
              <w:rPr>
                <w:rFonts w:ascii="宋体" w:hAnsi="宋体" w:cs="宋体"/>
                <w:b/>
                <w:bCs/>
              </w:rPr>
              <w:t>-285</w:t>
            </w:r>
          </w:p>
        </w:tc>
      </w:tr>
    </w:tbl>
    <w:p>
      <w:pPr>
        <w:spacing w:afterLines="50"/>
        <w:ind w:firstLine="31680" w:firstLineChars="135"/>
        <w:rPr>
          <w:rFonts w:ascii="楷体" w:hAnsi="楷体" w:eastAsia="楷体" w:cs="Times New Roman"/>
        </w:rPr>
      </w:pPr>
      <w:r>
        <w:rPr>
          <w:rFonts w:hint="eastAsia" w:ascii="楷体" w:hAnsi="楷体" w:eastAsia="楷体" w:cs="楷体"/>
        </w:rPr>
        <w:t>数据来源：安泰科。注：供需平衡未考虑库存因素</w:t>
      </w:r>
    </w:p>
    <w:p>
      <w:pPr>
        <w:spacing w:line="560" w:lineRule="exact"/>
        <w:ind w:firstLine="31680" w:firstLineChars="200"/>
        <w:rPr>
          <w:rFonts w:ascii="仿宋" w:hAnsi="仿宋" w:eastAsia="仿宋" w:cs="Times New Roman"/>
          <w:sz w:val="28"/>
          <w:szCs w:val="28"/>
        </w:rPr>
      </w:pPr>
      <w:r>
        <w:rPr>
          <w:rFonts w:hint="eastAsia" w:eastAsia="仿宋" w:cs="仿宋"/>
          <w:sz w:val="28"/>
          <w:szCs w:val="28"/>
        </w:rPr>
        <w:t>综合判断，未来中国铜消费只是保持低速增长格局，</w:t>
      </w:r>
      <w:r>
        <w:rPr>
          <w:rFonts w:hint="eastAsia" w:ascii="仿宋" w:hAnsi="仿宋" w:eastAsia="仿宋" w:cs="仿宋"/>
          <w:sz w:val="28"/>
          <w:szCs w:val="28"/>
        </w:rPr>
        <w:t>中国精铜产量仍难以满足国内需求，产消之间始终存在缺口，只是缺口较前几年将进一步有所收窄。</w:t>
      </w:r>
    </w:p>
    <w:p>
      <w:pPr>
        <w:pStyle w:val="4"/>
        <w:spacing w:before="240" w:after="120" w:line="415" w:lineRule="auto"/>
        <w:rPr>
          <w:rFonts w:ascii="仿宋" w:hAnsi="仿宋" w:eastAsia="仿宋" w:cs="Times New Roman"/>
          <w:sz w:val="28"/>
          <w:szCs w:val="28"/>
        </w:rPr>
      </w:pPr>
      <w:bookmarkStart w:id="9" w:name="_Toc70684623"/>
      <w:r>
        <w:rPr>
          <w:rFonts w:ascii="仿宋" w:hAnsi="仿宋" w:eastAsia="仿宋" w:cs="仿宋"/>
          <w:sz w:val="28"/>
          <w:szCs w:val="28"/>
        </w:rPr>
        <w:t>4.</w:t>
      </w:r>
      <w:r>
        <w:rPr>
          <w:rFonts w:hint="eastAsia" w:ascii="仿宋" w:hAnsi="仿宋" w:eastAsia="仿宋" w:cs="仿宋"/>
          <w:sz w:val="28"/>
          <w:szCs w:val="28"/>
        </w:rPr>
        <w:t>国内铜加工产业竞争分析</w:t>
      </w:r>
      <w:bookmarkEnd w:id="9"/>
    </w:p>
    <w:p>
      <w:pPr>
        <w:pStyle w:val="5"/>
        <w:spacing w:before="240" w:after="120" w:line="377" w:lineRule="auto"/>
        <w:rPr>
          <w:rFonts w:ascii="仿宋" w:hAnsi="仿宋" w:eastAsia="仿宋" w:cs="Times New Roman"/>
        </w:rPr>
      </w:pPr>
      <w:r>
        <w:rPr>
          <w:rFonts w:hint="eastAsia" w:ascii="仿宋" w:hAnsi="仿宋" w:eastAsia="仿宋" w:cs="仿宋"/>
        </w:rPr>
        <w:t>（</w:t>
      </w:r>
      <w:r>
        <w:rPr>
          <w:rFonts w:ascii="仿宋" w:hAnsi="仿宋" w:eastAsia="仿宋" w:cs="仿宋"/>
        </w:rPr>
        <w:t>1</w:t>
      </w:r>
      <w:r>
        <w:rPr>
          <w:rFonts w:hint="eastAsia" w:ascii="仿宋" w:hAnsi="仿宋" w:eastAsia="仿宋" w:cs="仿宋"/>
        </w:rPr>
        <w:t>）全国竞争格局分析</w:t>
      </w:r>
    </w:p>
    <w:p>
      <w:pPr>
        <w:spacing w:line="560" w:lineRule="exact"/>
        <w:ind w:firstLine="31680" w:firstLineChars="200"/>
        <w:rPr>
          <w:rFonts w:ascii="仿宋" w:hAnsi="仿宋" w:eastAsia="仿宋" w:cs="Times New Roman"/>
          <w:sz w:val="28"/>
          <w:szCs w:val="28"/>
        </w:rPr>
      </w:pPr>
      <w:r>
        <w:rPr>
          <w:rFonts w:hint="eastAsia" w:ascii="仿宋" w:hAnsi="仿宋" w:eastAsia="仿宋" w:cs="仿宋"/>
          <w:sz w:val="28"/>
          <w:szCs w:val="28"/>
        </w:rPr>
        <w:t>中国铜加工行业经过多年的快速发展，虽然已经形成了较为完善的产业布局，但是仍然面临着发展结构不平衡、产能利用不充分等问题。从规模上观察，我国铜加工行业早已经进入全面产能过剩的状态，激烈的竞争正处于白热化阶段，行业中企业的“上下车”情况屡见不鲜。就当前我国铜加工产品而言，尽管能够覆盖绝大多数应用领域的产品需求，但部分高端市场仍不能满足。产品高端化、实现进口完全替代，是摆在铜加工行业向上突破的发展瓶颈。</w:t>
      </w:r>
    </w:p>
    <w:p>
      <w:pPr>
        <w:spacing w:line="560" w:lineRule="exact"/>
        <w:ind w:firstLine="31680" w:firstLineChars="200"/>
        <w:rPr>
          <w:rFonts w:ascii="仿宋" w:hAnsi="仿宋" w:eastAsia="仿宋" w:cs="Times New Roman"/>
          <w:sz w:val="28"/>
          <w:szCs w:val="28"/>
        </w:rPr>
      </w:pPr>
      <w:r>
        <w:rPr>
          <w:rFonts w:hint="eastAsia" w:ascii="仿宋" w:hAnsi="仿宋" w:eastAsia="仿宋" w:cs="仿宋"/>
          <w:sz w:val="28"/>
          <w:szCs w:val="28"/>
        </w:rPr>
        <w:t>从中国铜加工行业的竞争格局看，民营经济占据了主导地位，无论在产业规模扩张、经营效益，还是资本运营方面均具备较强的市场竞争力，尤其是具有规模化经营特点的大类铜加工材领域。其中，铜管行业随着近年来消费增速大幅放缓，生产制造也开始逐渐放缓，产业集中向经营策略灵活、加工成本较低、技术工艺领先的优势企业（海亮集团、金龙集团、金田股份）靠拢；铜杆线行业正处于再次扩张模式下的相互“厮杀”状态中，激烈程度位居行业榜首，集团公司化控制市场程度提升（江西铜业集团、金辉集团、宝胜集团等）；铜板带行业则从平稳的发展状态下开始分化，走向“加快扩张实现规模化”（楚江新材、众源新材、花园铜业等）和“产品升级替代进口”（宁波博威合金、宁波兴业盛泰集团、河南凯美龙等）两个发展方向；铜箔行业随着新能源行业的快速发展，需求导向推动产能急剧扩张，以嘉元科技、诺德股份、华鑫铜箔等仍在不断扩大产能，且不断有新的企业加入。</w:t>
      </w:r>
    </w:p>
    <w:p>
      <w:pPr>
        <w:spacing w:line="560" w:lineRule="exact"/>
        <w:ind w:firstLine="31680" w:firstLineChars="200"/>
        <w:rPr>
          <w:rFonts w:ascii="仿宋" w:hAnsi="仿宋" w:eastAsia="仿宋" w:cs="Times New Roman"/>
          <w:sz w:val="28"/>
          <w:szCs w:val="28"/>
        </w:rPr>
      </w:pPr>
      <w:r>
        <w:rPr>
          <w:rFonts w:hint="eastAsia" w:ascii="仿宋" w:hAnsi="仿宋" w:eastAsia="仿宋" w:cs="仿宋"/>
          <w:sz w:val="28"/>
          <w:szCs w:val="28"/>
        </w:rPr>
        <w:t>纵观铜加工行业的竞争环境，随着供给侧结构性改革深入，铜加工行业的产业结构和产品结构均将得到优化，行业开始进入转方式、调结构、促转型的高质量发展新常态中。在此背景下，企业势必要实现转型升级，寻求再发展的新动能，从而出现“优势企业扩张以抢占市场份额，提质增优以攻占高端市场”的行业竞争格局，推动行业集中度不断提升，行业竞争力不断增强。</w:t>
      </w:r>
    </w:p>
    <w:p>
      <w:pPr>
        <w:pStyle w:val="5"/>
        <w:spacing w:before="240" w:after="120" w:line="377" w:lineRule="auto"/>
        <w:rPr>
          <w:rFonts w:ascii="仿宋" w:hAnsi="仿宋" w:eastAsia="仿宋" w:cs="Times New Roman"/>
        </w:rPr>
      </w:pPr>
      <w:r>
        <w:rPr>
          <w:rFonts w:hint="eastAsia" w:ascii="仿宋" w:hAnsi="仿宋" w:eastAsia="仿宋" w:cs="仿宋"/>
        </w:rPr>
        <w:t>（</w:t>
      </w:r>
      <w:r>
        <w:rPr>
          <w:rFonts w:ascii="仿宋" w:hAnsi="仿宋" w:eastAsia="仿宋" w:cs="仿宋"/>
        </w:rPr>
        <w:t>2</w:t>
      </w:r>
      <w:r>
        <w:rPr>
          <w:rFonts w:hint="eastAsia" w:ascii="仿宋" w:hAnsi="仿宋" w:eastAsia="仿宋" w:cs="仿宋"/>
        </w:rPr>
        <w:t>）区域竞争格局分析</w:t>
      </w:r>
    </w:p>
    <w:p>
      <w:pPr>
        <w:tabs>
          <w:tab w:val="left" w:pos="480"/>
        </w:tabs>
        <w:spacing w:line="360" w:lineRule="auto"/>
        <w:ind w:firstLine="31680" w:firstLineChars="200"/>
        <w:rPr>
          <w:rFonts w:ascii="仿宋" w:hAnsi="仿宋" w:eastAsia="仿宋" w:cs="Times New Roman"/>
          <w:sz w:val="28"/>
          <w:szCs w:val="28"/>
        </w:rPr>
      </w:pPr>
      <w:r>
        <w:rPr>
          <w:rFonts w:hint="eastAsia" w:ascii="仿宋" w:hAnsi="仿宋" w:eastAsia="仿宋" w:cs="仿宋"/>
          <w:sz w:val="28"/>
          <w:szCs w:val="28"/>
        </w:rPr>
        <w:t>随着中铝东南铜业</w:t>
      </w:r>
      <w:r>
        <w:rPr>
          <w:rFonts w:ascii="仿宋" w:hAnsi="仿宋" w:eastAsia="仿宋" w:cs="仿宋"/>
          <w:sz w:val="28"/>
          <w:szCs w:val="28"/>
        </w:rPr>
        <w:t>40</w:t>
      </w:r>
      <w:r>
        <w:rPr>
          <w:rFonts w:hint="eastAsia" w:ascii="仿宋" w:hAnsi="仿宋" w:eastAsia="仿宋" w:cs="仿宋"/>
          <w:sz w:val="28"/>
          <w:szCs w:val="28"/>
        </w:rPr>
        <w:t>万吨铜冶炼建成投产，宁德市开始具备了做大铜产业的基础，按照宁德市的发展规划，将布局铜产业下游精深加工项目，推动铜产业与其他三大主导产业（锂电新能源、新能源汽车、不锈钢新材料）战略协同发展，发挥港口优势，利用优惠政策，以聚集优势资源支持龙头企业（宁德时代、青拓集团、宁德新能源、中铝东南铜业、上汽宁德基地），瞄准配套龙头企业开展“招商选资”。尤其是新能源项目与铜冶炼项目衔接的铜箔、铜线等铜加工项目。</w:t>
      </w:r>
    </w:p>
    <w:p>
      <w:pPr>
        <w:tabs>
          <w:tab w:val="left" w:pos="480"/>
        </w:tabs>
        <w:spacing w:line="360" w:lineRule="auto"/>
        <w:ind w:firstLine="31680" w:firstLineChars="200"/>
        <w:rPr>
          <w:rFonts w:ascii="仿宋" w:hAnsi="仿宋" w:eastAsia="仿宋" w:cs="Times New Roman"/>
          <w:sz w:val="28"/>
          <w:szCs w:val="28"/>
        </w:rPr>
      </w:pPr>
      <w:r>
        <w:rPr>
          <w:rFonts w:hint="eastAsia" w:ascii="仿宋" w:hAnsi="仿宋" w:eastAsia="仿宋" w:cs="仿宋"/>
          <w:sz w:val="28"/>
          <w:szCs w:val="28"/>
        </w:rPr>
        <w:t>目前，宁德市铜产业链下游精深加工尚处于空白阶段，但是对接签约项目的推进脚步正在加快，其中，对接签约项目包括：正威集团铜材料精深加工项目和福浦铜铝加工项目（</w:t>
      </w:r>
      <w:r>
        <w:rPr>
          <w:rFonts w:ascii="仿宋" w:hAnsi="仿宋" w:eastAsia="仿宋" w:cs="仿宋"/>
          <w:sz w:val="28"/>
          <w:szCs w:val="28"/>
        </w:rPr>
        <w:t>40</w:t>
      </w:r>
      <w:r>
        <w:rPr>
          <w:rFonts w:hint="eastAsia" w:ascii="仿宋" w:hAnsi="仿宋" w:eastAsia="仿宋" w:cs="仿宋"/>
          <w:sz w:val="28"/>
          <w:szCs w:val="28"/>
        </w:rPr>
        <w:t>万吨铜加工）；计划对接项目包括：富硅铼</w:t>
      </w:r>
      <w:r>
        <w:rPr>
          <w:rFonts w:ascii="仿宋" w:hAnsi="仿宋" w:eastAsia="仿宋" w:cs="仿宋"/>
          <w:sz w:val="28"/>
          <w:szCs w:val="28"/>
        </w:rPr>
        <w:t>-</w:t>
      </w:r>
      <w:r>
        <w:rPr>
          <w:rFonts w:hint="eastAsia" w:ascii="仿宋" w:hAnsi="仿宋" w:eastAsia="仿宋" w:cs="仿宋"/>
          <w:sz w:val="28"/>
          <w:szCs w:val="28"/>
        </w:rPr>
        <w:t>中铝漆包线项目、震雄铜业集团有限公司铜导体材料项目、诺德股份铜加工及铜箔项目和嘉元科技铜箔项目；而在</w:t>
      </w:r>
      <w:r>
        <w:rPr>
          <w:rFonts w:ascii="仿宋" w:hAnsi="仿宋" w:eastAsia="仿宋" w:cs="仿宋"/>
          <w:sz w:val="28"/>
          <w:szCs w:val="28"/>
        </w:rPr>
        <w:t>2016</w:t>
      </w:r>
      <w:r>
        <w:rPr>
          <w:rFonts w:hint="eastAsia" w:ascii="仿宋" w:hAnsi="仿宋" w:eastAsia="仿宋" w:cs="仿宋"/>
          <w:sz w:val="28"/>
          <w:szCs w:val="28"/>
        </w:rPr>
        <w:t>年提出的中铝宁德</w:t>
      </w:r>
      <w:r>
        <w:rPr>
          <w:rFonts w:ascii="仿宋" w:hAnsi="仿宋" w:eastAsia="仿宋" w:cs="仿宋"/>
          <w:sz w:val="28"/>
          <w:szCs w:val="28"/>
        </w:rPr>
        <w:t>8.5</w:t>
      </w:r>
      <w:r>
        <w:rPr>
          <w:rFonts w:hint="eastAsia" w:ascii="仿宋" w:hAnsi="仿宋" w:eastAsia="仿宋" w:cs="仿宋"/>
          <w:sz w:val="28"/>
          <w:szCs w:val="28"/>
        </w:rPr>
        <w:t>万吨铜板带箔项目目前暂未有新的进展。</w:t>
      </w:r>
    </w:p>
    <w:p>
      <w:pPr>
        <w:tabs>
          <w:tab w:val="left" w:pos="480"/>
        </w:tabs>
        <w:spacing w:line="360" w:lineRule="auto"/>
        <w:ind w:firstLine="31680" w:firstLineChars="200"/>
        <w:rPr>
          <w:rFonts w:ascii="仿宋" w:hAnsi="仿宋" w:eastAsia="仿宋" w:cs="Times New Roman"/>
          <w:sz w:val="28"/>
          <w:szCs w:val="28"/>
        </w:rPr>
      </w:pPr>
      <w:r>
        <w:rPr>
          <w:rFonts w:hint="eastAsia" w:ascii="仿宋" w:hAnsi="仿宋" w:eastAsia="仿宋" w:cs="仿宋"/>
          <w:sz w:val="28"/>
          <w:szCs w:val="28"/>
        </w:rPr>
        <w:t>龙岩市的铜产业主要位于上杭县，与宁德市相距约</w:t>
      </w:r>
      <w:r>
        <w:rPr>
          <w:rFonts w:ascii="仿宋" w:hAnsi="仿宋" w:eastAsia="仿宋" w:cs="仿宋"/>
          <w:sz w:val="28"/>
          <w:szCs w:val="28"/>
        </w:rPr>
        <w:t>500</w:t>
      </w:r>
      <w:r>
        <w:rPr>
          <w:rFonts w:hint="eastAsia" w:ascii="仿宋" w:hAnsi="仿宋" w:eastAsia="仿宋" w:cs="仿宋"/>
          <w:sz w:val="28"/>
          <w:szCs w:val="28"/>
        </w:rPr>
        <w:t>公里，铜加工产品辐射半径区域交叉，且产业布局和招商引资对象雷同，存在较强的区域和产业竞争关系。</w:t>
      </w:r>
    </w:p>
    <w:p>
      <w:pPr>
        <w:tabs>
          <w:tab w:val="left" w:pos="480"/>
        </w:tabs>
        <w:spacing w:line="360" w:lineRule="auto"/>
        <w:ind w:firstLine="31680" w:firstLineChars="200"/>
        <w:rPr>
          <w:rFonts w:ascii="仿宋" w:hAnsi="仿宋" w:eastAsia="仿宋" w:cs="Times New Roman"/>
          <w:sz w:val="28"/>
          <w:szCs w:val="28"/>
        </w:rPr>
      </w:pPr>
      <w:r>
        <w:rPr>
          <w:rFonts w:hint="eastAsia" w:ascii="仿宋" w:hAnsi="仿宋" w:eastAsia="仿宋" w:cs="仿宋"/>
          <w:sz w:val="28"/>
          <w:szCs w:val="28"/>
        </w:rPr>
        <w:t>就当前两地的铜加工产业发展环境而言，上杭县具备较强的产业基础配套和非常强的协同能力，且已经形成了一定的产业集群效应，但是规模化程度和高端铜材加工产品方面仍有不足，缺乏龙头企业的引领。宁德市在铜加工产业的发展上，尚处于初级阶段，短期内尚不足以对上杭县的铜加工产业形成有力的竞争，但是新能源龙头企业的落户和引领，或将为其在配套材料企业招商引资上形成较强的优势，自下而上打通缩短新能源电池和新能源汽车的铜材料供应能力，削弱上杭县在该区域的材料供应优势。</w:t>
      </w:r>
    </w:p>
    <w:p>
      <w:pPr>
        <w:tabs>
          <w:tab w:val="left" w:pos="480"/>
        </w:tabs>
        <w:spacing w:line="360" w:lineRule="auto"/>
        <w:ind w:firstLine="31680" w:firstLineChars="200"/>
        <w:rPr>
          <w:rFonts w:ascii="仿宋" w:hAnsi="仿宋" w:eastAsia="仿宋" w:cs="Times New Roman"/>
          <w:sz w:val="28"/>
          <w:szCs w:val="28"/>
        </w:rPr>
      </w:pPr>
      <w:r>
        <w:rPr>
          <w:rFonts w:hint="eastAsia" w:ascii="仿宋" w:hAnsi="仿宋" w:eastAsia="仿宋" w:cs="仿宋"/>
          <w:sz w:val="28"/>
          <w:szCs w:val="28"/>
        </w:rPr>
        <w:t>从两地铜加工材项目的辐射范围和主要竞争领域看，宁德市位于福建省东部沿海，东临东海，与台湾隔海相望，西邻南平，南接省会福州市，北接浙江，具备港口物流优势，较上杭县相比更加偏向华东市场，而上杭县则更接近华南市场。此外，受铜加工材加工费不高导致的辐射半径较短影响，本区域市场将成为后期两地铜加工项目的主要交集竞争市场，涉及的主要铜加工产品包括锂电铜箔和汽车线等。目前，宁德市拥有新能源工业的多个龙头企业项目，具备较强的消费潜力，一旦成功引进相关铜加工项目，势必会截流部分其他地区的相关产品。虽然现阶段宁德市暂无力挑战上杭县的铜加工集群优势，无法短时间完成铜加工项目的产业布局，但不排除在发展过程中能够形成一定的优势依托项目。</w:t>
      </w:r>
    </w:p>
    <w:p>
      <w:pPr>
        <w:tabs>
          <w:tab w:val="left" w:pos="480"/>
        </w:tabs>
        <w:spacing w:line="360" w:lineRule="auto"/>
        <w:ind w:firstLine="31680" w:firstLineChars="200"/>
        <w:rPr>
          <w:rFonts w:cs="Times New Roman"/>
        </w:rPr>
      </w:pPr>
      <w:r>
        <w:rPr>
          <w:rFonts w:hint="eastAsia" w:ascii="仿宋" w:hAnsi="仿宋" w:eastAsia="仿宋" w:cs="仿宋"/>
          <w:sz w:val="28"/>
          <w:szCs w:val="28"/>
        </w:rPr>
        <w:t>未来，上杭县与宁德市在铜加工产业发展上，随着产业转换升级和对高质量发展需求的不断推进，上杭县凭借雄厚的产业基础以实现厚积薄发、探索高精尖新项目以推动产业行稳致远，尽量与宁德市优势产业配套的铜加工产业错位择机发展，并在铜箔等产品方面尽快尽早布局，以期形成先发优势和规模优势，避免后期的消费压制，从而实现铜加工产业稳步发展的再次突破。</w:t>
      </w:r>
    </w:p>
    <w:p>
      <w:pPr>
        <w:pStyle w:val="4"/>
        <w:spacing w:before="240" w:after="120" w:line="415" w:lineRule="auto"/>
        <w:rPr>
          <w:rFonts w:ascii="仿宋" w:hAnsi="仿宋" w:eastAsia="仿宋" w:cs="Times New Roman"/>
          <w:sz w:val="28"/>
          <w:szCs w:val="28"/>
        </w:rPr>
      </w:pPr>
      <w:bookmarkStart w:id="10" w:name="_Toc70684624"/>
      <w:r>
        <w:rPr>
          <w:rFonts w:ascii="仿宋" w:hAnsi="仿宋" w:eastAsia="仿宋" w:cs="仿宋"/>
          <w:sz w:val="28"/>
          <w:szCs w:val="28"/>
        </w:rPr>
        <w:t>5.</w:t>
      </w:r>
      <w:r>
        <w:rPr>
          <w:rFonts w:hint="eastAsia" w:ascii="仿宋" w:hAnsi="仿宋" w:eastAsia="仿宋" w:cs="仿宋"/>
          <w:sz w:val="28"/>
          <w:szCs w:val="28"/>
        </w:rPr>
        <w:t>国内重点领域铜需求前景分析</w:t>
      </w:r>
      <w:bookmarkEnd w:id="10"/>
    </w:p>
    <w:p>
      <w:pPr>
        <w:tabs>
          <w:tab w:val="left" w:pos="480"/>
        </w:tabs>
        <w:spacing w:line="360" w:lineRule="auto"/>
        <w:ind w:firstLine="31680" w:firstLineChars="200"/>
        <w:rPr>
          <w:rFonts w:ascii="仿宋" w:hAnsi="仿宋" w:eastAsia="仿宋" w:cs="Times New Roman"/>
          <w:sz w:val="28"/>
          <w:szCs w:val="28"/>
        </w:rPr>
      </w:pPr>
      <w:r>
        <w:rPr>
          <w:rFonts w:hint="eastAsia" w:ascii="仿宋" w:hAnsi="仿宋" w:eastAsia="仿宋" w:cs="仿宋"/>
          <w:sz w:val="28"/>
          <w:szCs w:val="28"/>
        </w:rPr>
        <w:t>随着“中国制造</w:t>
      </w:r>
      <w:r>
        <w:rPr>
          <w:rFonts w:ascii="仿宋" w:hAnsi="仿宋" w:eastAsia="仿宋" w:cs="仿宋"/>
          <w:sz w:val="28"/>
          <w:szCs w:val="28"/>
        </w:rPr>
        <w:t>2025</w:t>
      </w:r>
      <w:r>
        <w:rPr>
          <w:rFonts w:hint="eastAsia" w:ascii="仿宋" w:hAnsi="仿宋" w:eastAsia="仿宋" w:cs="仿宋"/>
          <w:sz w:val="28"/>
          <w:szCs w:val="28"/>
        </w:rPr>
        <w:t>”发展战略的推进和“新基建”等领域投资加大的拉动，中国铜加工行业有望在清洁能源发电、新能源汽车、电子行业等方面获得较大的发展潜力和空间。</w:t>
      </w:r>
    </w:p>
    <w:p>
      <w:pPr>
        <w:tabs>
          <w:tab w:val="left" w:pos="480"/>
        </w:tabs>
        <w:spacing w:line="360" w:lineRule="auto"/>
        <w:ind w:firstLine="31680" w:firstLineChars="200"/>
        <w:rPr>
          <w:rFonts w:cs="Times New Roman"/>
        </w:rPr>
      </w:pPr>
      <w:r>
        <w:rPr>
          <w:rFonts w:hint="eastAsia" w:ascii="仿宋" w:hAnsi="仿宋" w:eastAsia="仿宋" w:cs="仿宋"/>
          <w:sz w:val="28"/>
          <w:szCs w:val="28"/>
        </w:rPr>
        <w:t>从未来铜加工材的重点消费领域看，涉及“双碳行动”、“新基建”等方面应用的高强高导铜及铜合金材料是铜加工行业面临的发展机遇。在能源供应结构方面，将大力发展水电、光伏发电、风电等，提升清洁能源的供应比例，优化能源结构，由于清洁能源发电领域的铜消费强度大大超过传统火电，将推动相关铜加工材的需求量；在国家新能源汽车产业战略发展的推动下，新能源汽车产业的市场脉络愈发显现，用户对汽车应用的电子化、智能化，电池能量密度的高标准、高要求以及相关配套设施建设等方面的需求将持续促进汽车线束、电池电极、电子连接器、接插件等众多领域的需求，同时拉动铜箔、铜线、铜带等铜加工材的消费；电子工业发展方面，随着中美贸易争端在高科技领域的博弈，电子工业在政策层面开始备受重视，各地方政府及社会资本也在积极推进，中国电子工业正处于爆发式发展的前夜，尤其是在集成电路和</w:t>
      </w:r>
      <w:r>
        <w:rPr>
          <w:rFonts w:ascii="仿宋" w:hAnsi="仿宋" w:eastAsia="仿宋" w:cs="仿宋"/>
          <w:sz w:val="28"/>
          <w:szCs w:val="28"/>
        </w:rPr>
        <w:t>5G</w:t>
      </w:r>
      <w:r>
        <w:rPr>
          <w:rFonts w:hint="eastAsia" w:ascii="仿宋" w:hAnsi="仿宋" w:eastAsia="仿宋" w:cs="仿宋"/>
          <w:sz w:val="28"/>
          <w:szCs w:val="28"/>
        </w:rPr>
        <w:t>通讯技术方面，更是潜力巨大，这也就对高强高导铜及铜合金材料的需求产生着强大的拉动力。其中，我国集成电路近</w:t>
      </w:r>
      <w:r>
        <w:rPr>
          <w:rFonts w:ascii="仿宋" w:hAnsi="仿宋" w:eastAsia="仿宋" w:cs="仿宋"/>
          <w:sz w:val="28"/>
          <w:szCs w:val="28"/>
        </w:rPr>
        <w:t>8</w:t>
      </w:r>
      <w:r>
        <w:rPr>
          <w:rFonts w:hint="eastAsia" w:ascii="仿宋" w:hAnsi="仿宋" w:eastAsia="仿宋" w:cs="仿宋"/>
          <w:sz w:val="28"/>
          <w:szCs w:val="28"/>
        </w:rPr>
        <w:t>年间销售额年均复合增长率高达</w:t>
      </w:r>
      <w:r>
        <w:rPr>
          <w:rFonts w:ascii="仿宋" w:hAnsi="仿宋" w:eastAsia="仿宋" w:cs="仿宋"/>
          <w:sz w:val="28"/>
          <w:szCs w:val="28"/>
        </w:rPr>
        <w:t>20.8%</w:t>
      </w:r>
      <w:r>
        <w:rPr>
          <w:rFonts w:hint="eastAsia" w:ascii="仿宋" w:hAnsi="仿宋" w:eastAsia="仿宋" w:cs="仿宋"/>
          <w:sz w:val="28"/>
          <w:szCs w:val="28"/>
        </w:rPr>
        <w:t>，预计到</w:t>
      </w:r>
      <w:r>
        <w:rPr>
          <w:rFonts w:ascii="仿宋" w:hAnsi="仿宋" w:eastAsia="仿宋" w:cs="仿宋"/>
          <w:sz w:val="28"/>
          <w:szCs w:val="28"/>
        </w:rPr>
        <w:t>2025</w:t>
      </w:r>
      <w:r>
        <w:rPr>
          <w:rFonts w:hint="eastAsia" w:ascii="仿宋" w:hAnsi="仿宋" w:eastAsia="仿宋" w:cs="仿宋"/>
          <w:sz w:val="28"/>
          <w:szCs w:val="28"/>
        </w:rPr>
        <w:t>年仍将保持高速增长；</w:t>
      </w:r>
      <w:r>
        <w:rPr>
          <w:rFonts w:ascii="仿宋" w:hAnsi="仿宋" w:eastAsia="仿宋" w:cs="仿宋"/>
          <w:sz w:val="28"/>
          <w:szCs w:val="28"/>
        </w:rPr>
        <w:t>5G</w:t>
      </w:r>
      <w:r>
        <w:rPr>
          <w:rFonts w:hint="eastAsia" w:ascii="仿宋" w:hAnsi="仿宋" w:eastAsia="仿宋" w:cs="仿宋"/>
          <w:sz w:val="28"/>
          <w:szCs w:val="28"/>
        </w:rPr>
        <w:t>基础建设预计到</w:t>
      </w:r>
      <w:r>
        <w:rPr>
          <w:rFonts w:ascii="仿宋" w:hAnsi="仿宋" w:eastAsia="仿宋" w:cs="仿宋"/>
          <w:sz w:val="28"/>
          <w:szCs w:val="28"/>
        </w:rPr>
        <w:t>2025</w:t>
      </w:r>
      <w:r>
        <w:rPr>
          <w:rFonts w:hint="eastAsia" w:ascii="仿宋" w:hAnsi="仿宋" w:eastAsia="仿宋" w:cs="仿宋"/>
          <w:sz w:val="28"/>
          <w:szCs w:val="28"/>
        </w:rPr>
        <w:t>年总支出将远高于</w:t>
      </w:r>
      <w:r>
        <w:rPr>
          <w:rFonts w:ascii="仿宋" w:hAnsi="仿宋" w:eastAsia="仿宋" w:cs="仿宋"/>
          <w:sz w:val="28"/>
          <w:szCs w:val="28"/>
        </w:rPr>
        <w:t>2013-2020</w:t>
      </w:r>
      <w:r>
        <w:rPr>
          <w:rFonts w:hint="eastAsia" w:ascii="仿宋" w:hAnsi="仿宋" w:eastAsia="仿宋" w:cs="仿宋"/>
          <w:sz w:val="28"/>
          <w:szCs w:val="28"/>
        </w:rPr>
        <w:t>年的</w:t>
      </w:r>
      <w:r>
        <w:rPr>
          <w:rFonts w:ascii="仿宋" w:hAnsi="仿宋" w:eastAsia="仿宋" w:cs="仿宋"/>
          <w:sz w:val="28"/>
          <w:szCs w:val="28"/>
        </w:rPr>
        <w:t>4G</w:t>
      </w:r>
      <w:r>
        <w:rPr>
          <w:rFonts w:hint="eastAsia" w:ascii="仿宋" w:hAnsi="仿宋" w:eastAsia="仿宋" w:cs="仿宋"/>
          <w:sz w:val="28"/>
          <w:szCs w:val="28"/>
        </w:rPr>
        <w:t>投资金额</w:t>
      </w:r>
      <w:r>
        <w:rPr>
          <w:rFonts w:ascii="仿宋" w:hAnsi="仿宋" w:eastAsia="仿宋" w:cs="仿宋"/>
          <w:sz w:val="28"/>
          <w:szCs w:val="28"/>
        </w:rPr>
        <w:t>1170</w:t>
      </w:r>
      <w:r>
        <w:rPr>
          <w:rFonts w:hint="eastAsia" w:ascii="仿宋" w:hAnsi="仿宋" w:eastAsia="仿宋" w:cs="仿宋"/>
          <w:sz w:val="28"/>
          <w:szCs w:val="28"/>
        </w:rPr>
        <w:t>亿美元，达到</w:t>
      </w:r>
      <w:r>
        <w:rPr>
          <w:rFonts w:ascii="仿宋" w:hAnsi="仿宋" w:eastAsia="仿宋" w:cs="仿宋"/>
          <w:sz w:val="28"/>
          <w:szCs w:val="28"/>
        </w:rPr>
        <w:t>1800</w:t>
      </w:r>
      <w:r>
        <w:rPr>
          <w:rFonts w:hint="eastAsia" w:ascii="仿宋" w:hAnsi="仿宋" w:eastAsia="仿宋" w:cs="仿宋"/>
          <w:sz w:val="28"/>
          <w:szCs w:val="28"/>
        </w:rPr>
        <w:t>亿美元（约合人民币</w:t>
      </w:r>
      <w:r>
        <w:rPr>
          <w:rFonts w:ascii="仿宋" w:hAnsi="仿宋" w:eastAsia="仿宋" w:cs="仿宋"/>
          <w:sz w:val="28"/>
          <w:szCs w:val="28"/>
        </w:rPr>
        <w:t>1.2</w:t>
      </w:r>
      <w:r>
        <w:rPr>
          <w:rFonts w:hint="eastAsia" w:ascii="仿宋" w:hAnsi="仿宋" w:eastAsia="仿宋" w:cs="仿宋"/>
          <w:sz w:val="28"/>
          <w:szCs w:val="28"/>
        </w:rPr>
        <w:t>万亿元）。未来，中国电子工业的发展，无论是技术攻坚还是对导体原材料的需求将逐渐打破海外垄断，推动我国高端铜加工材的发展，逐步实现铜合金引线框架材料、连接器材料、高纯铜线、高端铜箔等多种原材料的进口替代；而在经历了高速发展时期的电力工业和房地产等行业来讲，其对基础铜加工材的拉动力将逐步放缓，加快推动铜加工材行业在大产能背景下的产业结构优化。</w:t>
      </w:r>
    </w:p>
    <w:p>
      <w:pPr>
        <w:pStyle w:val="3"/>
        <w:rPr>
          <w:rFonts w:ascii="仿宋" w:hAnsi="仿宋" w:eastAsia="仿宋" w:cs="Times New Roman"/>
          <w:sz w:val="28"/>
          <w:szCs w:val="28"/>
        </w:rPr>
      </w:pPr>
      <w:bookmarkStart w:id="11" w:name="_Toc70684625"/>
      <w:r>
        <w:rPr>
          <w:rFonts w:hint="eastAsia" w:ascii="仿宋" w:hAnsi="仿宋" w:eastAsia="仿宋" w:cs="仿宋"/>
          <w:sz w:val="28"/>
          <w:szCs w:val="28"/>
        </w:rPr>
        <w:t>（二）金产业发展现状及趋势</w:t>
      </w:r>
      <w:bookmarkEnd w:id="11"/>
    </w:p>
    <w:p>
      <w:pPr>
        <w:pStyle w:val="4"/>
        <w:spacing w:before="240" w:after="120" w:line="415" w:lineRule="auto"/>
        <w:rPr>
          <w:rFonts w:ascii="仿宋" w:hAnsi="仿宋" w:eastAsia="仿宋" w:cs="Times New Roman"/>
          <w:sz w:val="28"/>
          <w:szCs w:val="28"/>
        </w:rPr>
      </w:pPr>
      <w:bookmarkStart w:id="12" w:name="_Toc70684626"/>
      <w:r>
        <w:rPr>
          <w:rFonts w:ascii="仿宋" w:hAnsi="仿宋" w:eastAsia="仿宋" w:cs="仿宋"/>
          <w:sz w:val="28"/>
          <w:szCs w:val="28"/>
        </w:rPr>
        <w:t>1.</w:t>
      </w:r>
      <w:r>
        <w:rPr>
          <w:rFonts w:hint="eastAsia" w:ascii="仿宋" w:hAnsi="仿宋" w:eastAsia="仿宋" w:cs="仿宋"/>
          <w:sz w:val="28"/>
          <w:szCs w:val="28"/>
        </w:rPr>
        <w:t>国内外金生产现状及趋势</w:t>
      </w:r>
      <w:bookmarkEnd w:id="12"/>
    </w:p>
    <w:p>
      <w:pPr>
        <w:tabs>
          <w:tab w:val="left" w:pos="480"/>
        </w:tabs>
        <w:spacing w:line="360" w:lineRule="auto"/>
        <w:ind w:firstLine="31680" w:firstLineChars="200"/>
        <w:rPr>
          <w:rFonts w:ascii="仿宋" w:hAnsi="仿宋" w:eastAsia="仿宋" w:cs="Times New Roman"/>
          <w:sz w:val="28"/>
          <w:szCs w:val="28"/>
        </w:rPr>
      </w:pPr>
      <w:r>
        <w:rPr>
          <w:rFonts w:hint="eastAsia" w:ascii="仿宋" w:hAnsi="仿宋" w:eastAsia="仿宋" w:cs="仿宋"/>
          <w:sz w:val="28"/>
          <w:szCs w:val="28"/>
        </w:rPr>
        <w:t>黄金是重要的战略资源，兼具商品和货币属性，且货币属性更为突出，主要应用于政府储备、珠宝首饰、金融投资、电子信息等重要领域，在满足人民生活需要、促进经济开发、保障国家金融和经济安全、稳定社会心理预期等方面具有重要作用。</w:t>
      </w:r>
    </w:p>
    <w:p>
      <w:pPr>
        <w:spacing w:line="560" w:lineRule="exact"/>
        <w:ind w:firstLine="31680" w:firstLineChars="250"/>
        <w:rPr>
          <w:rFonts w:ascii="仿宋" w:hAnsi="仿宋" w:eastAsia="仿宋" w:cs="Times New Roman"/>
          <w:sz w:val="28"/>
          <w:szCs w:val="28"/>
        </w:rPr>
      </w:pPr>
      <w:r>
        <w:rPr>
          <w:rFonts w:hint="eastAsia" w:ascii="仿宋" w:hAnsi="仿宋" w:eastAsia="仿宋" w:cs="仿宋"/>
          <w:sz w:val="28"/>
          <w:szCs w:val="28"/>
        </w:rPr>
        <w:t>近十年来世界黄金市场总供应基本维持稳定。世界黄金协会（</w:t>
      </w:r>
      <w:r>
        <w:rPr>
          <w:rFonts w:ascii="仿宋" w:hAnsi="仿宋" w:eastAsia="仿宋" w:cs="仿宋"/>
          <w:sz w:val="28"/>
          <w:szCs w:val="28"/>
        </w:rPr>
        <w:t>WGC</w:t>
      </w:r>
      <w:r>
        <w:rPr>
          <w:rFonts w:hint="eastAsia" w:ascii="仿宋" w:hAnsi="仿宋" w:eastAsia="仿宋" w:cs="仿宋"/>
          <w:sz w:val="28"/>
          <w:szCs w:val="28"/>
        </w:rPr>
        <w:t>）公布数据显示，</w:t>
      </w:r>
      <w:r>
        <w:rPr>
          <w:rFonts w:ascii="仿宋" w:hAnsi="仿宋" w:eastAsia="仿宋" w:cs="仿宋"/>
          <w:sz w:val="28"/>
          <w:szCs w:val="28"/>
        </w:rPr>
        <w:t>2020</w:t>
      </w:r>
      <w:r>
        <w:rPr>
          <w:rFonts w:hint="eastAsia" w:ascii="仿宋" w:hAnsi="仿宋" w:eastAsia="仿宋" w:cs="仿宋"/>
          <w:sz w:val="28"/>
          <w:szCs w:val="28"/>
        </w:rPr>
        <w:t>年全球黄金实物供应总量</w:t>
      </w:r>
      <w:r>
        <w:rPr>
          <w:rFonts w:ascii="仿宋" w:hAnsi="仿宋" w:eastAsia="仿宋" w:cs="仿宋"/>
          <w:sz w:val="28"/>
          <w:szCs w:val="28"/>
        </w:rPr>
        <w:t>4698</w:t>
      </w:r>
      <w:r>
        <w:rPr>
          <w:rFonts w:hint="eastAsia" w:ascii="仿宋" w:hAnsi="仿宋" w:eastAsia="仿宋" w:cs="仿宋"/>
          <w:sz w:val="28"/>
          <w:szCs w:val="28"/>
        </w:rPr>
        <w:t>吨，同比下降</w:t>
      </w:r>
      <w:r>
        <w:rPr>
          <w:rFonts w:ascii="仿宋" w:hAnsi="仿宋" w:eastAsia="仿宋" w:cs="仿宋"/>
          <w:sz w:val="28"/>
          <w:szCs w:val="28"/>
        </w:rPr>
        <w:t>2.4%</w:t>
      </w:r>
      <w:r>
        <w:rPr>
          <w:rFonts w:hint="eastAsia" w:ascii="仿宋" w:hAnsi="仿宋" w:eastAsia="仿宋" w:cs="仿宋"/>
          <w:sz w:val="28"/>
          <w:szCs w:val="28"/>
        </w:rPr>
        <w:t>，其中矿产金、再生金所占比重分别为</w:t>
      </w:r>
      <w:r>
        <w:rPr>
          <w:rFonts w:ascii="仿宋" w:hAnsi="仿宋" w:eastAsia="仿宋" w:cs="仿宋"/>
          <w:sz w:val="28"/>
          <w:szCs w:val="28"/>
        </w:rPr>
        <w:t>72.4%</w:t>
      </w:r>
      <w:r>
        <w:rPr>
          <w:rFonts w:hint="eastAsia" w:ascii="仿宋" w:hAnsi="仿宋" w:eastAsia="仿宋" w:cs="仿宋"/>
          <w:sz w:val="28"/>
          <w:szCs w:val="28"/>
        </w:rPr>
        <w:t>和</w:t>
      </w:r>
      <w:r>
        <w:rPr>
          <w:rFonts w:ascii="仿宋" w:hAnsi="仿宋" w:eastAsia="仿宋" w:cs="仿宋"/>
          <w:sz w:val="28"/>
          <w:szCs w:val="28"/>
        </w:rPr>
        <w:t>27.6%</w:t>
      </w:r>
      <w:r>
        <w:rPr>
          <w:rFonts w:hint="eastAsia" w:ascii="仿宋" w:hAnsi="仿宋" w:eastAsia="仿宋" w:cs="仿宋"/>
          <w:sz w:val="28"/>
          <w:szCs w:val="28"/>
        </w:rPr>
        <w:t>。过去</w:t>
      </w:r>
      <w:r>
        <w:rPr>
          <w:rFonts w:ascii="仿宋" w:hAnsi="仿宋" w:eastAsia="仿宋" w:cs="仿宋"/>
          <w:sz w:val="28"/>
          <w:szCs w:val="28"/>
        </w:rPr>
        <w:t>5</w:t>
      </w:r>
      <w:r>
        <w:rPr>
          <w:rFonts w:hint="eastAsia" w:ascii="仿宋" w:hAnsi="仿宋" w:eastAsia="仿宋" w:cs="仿宋"/>
          <w:sz w:val="28"/>
          <w:szCs w:val="28"/>
        </w:rPr>
        <w:t>年（</w:t>
      </w:r>
      <w:r>
        <w:rPr>
          <w:rFonts w:ascii="仿宋" w:hAnsi="仿宋" w:eastAsia="仿宋" w:cs="仿宋"/>
          <w:sz w:val="28"/>
          <w:szCs w:val="28"/>
        </w:rPr>
        <w:t>2016-2020</w:t>
      </w:r>
      <w:r>
        <w:rPr>
          <w:rFonts w:hint="eastAsia" w:ascii="仿宋" w:hAnsi="仿宋" w:eastAsia="仿宋" w:cs="仿宋"/>
          <w:sz w:val="28"/>
          <w:szCs w:val="28"/>
        </w:rPr>
        <w:t>）全球黄金实物供应总体保持稳定，从</w:t>
      </w:r>
      <w:r>
        <w:rPr>
          <w:rFonts w:ascii="仿宋" w:hAnsi="仿宋" w:eastAsia="仿宋" w:cs="仿宋"/>
          <w:sz w:val="28"/>
          <w:szCs w:val="28"/>
        </w:rPr>
        <w:t>4708</w:t>
      </w:r>
      <w:r>
        <w:rPr>
          <w:rFonts w:hint="eastAsia" w:ascii="仿宋" w:hAnsi="仿宋" w:eastAsia="仿宋" w:cs="仿宋"/>
          <w:sz w:val="28"/>
          <w:szCs w:val="28"/>
        </w:rPr>
        <w:t>吨微幅降至</w:t>
      </w:r>
      <w:r>
        <w:rPr>
          <w:rFonts w:ascii="仿宋" w:hAnsi="仿宋" w:eastAsia="仿宋" w:cs="仿宋"/>
          <w:sz w:val="28"/>
          <w:szCs w:val="28"/>
        </w:rPr>
        <w:t>4698</w:t>
      </w:r>
      <w:r>
        <w:rPr>
          <w:rFonts w:hint="eastAsia" w:ascii="仿宋" w:hAnsi="仿宋" w:eastAsia="仿宋" w:cs="仿宋"/>
          <w:sz w:val="28"/>
          <w:szCs w:val="28"/>
        </w:rPr>
        <w:t>吨，。</w:t>
      </w:r>
    </w:p>
    <w:p>
      <w:pPr>
        <w:spacing w:line="560" w:lineRule="exact"/>
        <w:ind w:firstLine="31680" w:firstLineChars="250"/>
        <w:rPr>
          <w:rFonts w:ascii="仿宋" w:hAnsi="仿宋" w:eastAsia="仿宋" w:cs="Times New Roman"/>
          <w:sz w:val="28"/>
          <w:szCs w:val="28"/>
        </w:rPr>
      </w:pPr>
      <w:r>
        <w:rPr>
          <w:rFonts w:ascii="仿宋" w:hAnsi="仿宋" w:eastAsia="仿宋" w:cs="仿宋"/>
          <w:sz w:val="28"/>
          <w:szCs w:val="28"/>
        </w:rPr>
        <w:t>2020</w:t>
      </w:r>
      <w:r>
        <w:rPr>
          <w:rFonts w:hint="eastAsia" w:ascii="仿宋" w:hAnsi="仿宋" w:eastAsia="仿宋" w:cs="仿宋"/>
          <w:sz w:val="28"/>
          <w:szCs w:val="28"/>
        </w:rPr>
        <w:t>年中国总计生产黄金</w:t>
      </w:r>
      <w:r>
        <w:rPr>
          <w:rFonts w:ascii="仿宋" w:hAnsi="仿宋" w:eastAsia="仿宋" w:cs="仿宋"/>
          <w:sz w:val="28"/>
          <w:szCs w:val="28"/>
        </w:rPr>
        <w:t>479.5</w:t>
      </w:r>
      <w:r>
        <w:rPr>
          <w:rFonts w:hint="eastAsia" w:ascii="仿宋" w:hAnsi="仿宋" w:eastAsia="仿宋" w:cs="仿宋"/>
          <w:sz w:val="28"/>
          <w:szCs w:val="28"/>
        </w:rPr>
        <w:t>吨（国内原料</w:t>
      </w:r>
      <w:r>
        <w:rPr>
          <w:rFonts w:ascii="仿宋" w:hAnsi="仿宋" w:eastAsia="仿宋" w:cs="仿宋"/>
          <w:sz w:val="28"/>
          <w:szCs w:val="28"/>
        </w:rPr>
        <w:t>+</w:t>
      </w:r>
      <w:r>
        <w:rPr>
          <w:rFonts w:hint="eastAsia" w:ascii="仿宋" w:hAnsi="仿宋" w:eastAsia="仿宋" w:cs="仿宋"/>
          <w:sz w:val="28"/>
          <w:szCs w:val="28"/>
        </w:rPr>
        <w:t>进口原料产金），其中自产黄金</w:t>
      </w:r>
      <w:r>
        <w:rPr>
          <w:rFonts w:ascii="仿宋" w:hAnsi="仿宋" w:eastAsia="仿宋" w:cs="仿宋"/>
          <w:sz w:val="28"/>
          <w:szCs w:val="28"/>
        </w:rPr>
        <w:t>365.3</w:t>
      </w:r>
      <w:r>
        <w:rPr>
          <w:rFonts w:hint="eastAsia" w:ascii="仿宋" w:hAnsi="仿宋" w:eastAsia="仿宋" w:cs="仿宋"/>
          <w:sz w:val="28"/>
          <w:szCs w:val="28"/>
        </w:rPr>
        <w:t>吨，比</w:t>
      </w:r>
      <w:r>
        <w:rPr>
          <w:rFonts w:ascii="仿宋" w:hAnsi="仿宋" w:eastAsia="仿宋" w:cs="仿宋"/>
          <w:sz w:val="28"/>
          <w:szCs w:val="28"/>
        </w:rPr>
        <w:t>2019</w:t>
      </w:r>
      <w:r>
        <w:rPr>
          <w:rFonts w:hint="eastAsia" w:ascii="仿宋" w:hAnsi="仿宋" w:eastAsia="仿宋" w:cs="仿宋"/>
          <w:sz w:val="28"/>
          <w:szCs w:val="28"/>
        </w:rPr>
        <w:t>年下降</w:t>
      </w:r>
      <w:r>
        <w:rPr>
          <w:rFonts w:ascii="仿宋" w:hAnsi="仿宋" w:eastAsia="仿宋" w:cs="仿宋"/>
          <w:sz w:val="28"/>
          <w:szCs w:val="28"/>
        </w:rPr>
        <w:t>3.9%</w:t>
      </w:r>
      <w:r>
        <w:rPr>
          <w:rFonts w:hint="eastAsia" w:ascii="仿宋" w:hAnsi="仿宋" w:eastAsia="仿宋" w:cs="仿宋"/>
          <w:sz w:val="28"/>
          <w:szCs w:val="28"/>
        </w:rPr>
        <w:t>；进口原料产金</w:t>
      </w:r>
      <w:r>
        <w:rPr>
          <w:rFonts w:ascii="仿宋" w:hAnsi="仿宋" w:eastAsia="仿宋" w:cs="仿宋"/>
          <w:sz w:val="28"/>
          <w:szCs w:val="28"/>
        </w:rPr>
        <w:t>114.2</w:t>
      </w:r>
      <w:r>
        <w:rPr>
          <w:rFonts w:hint="eastAsia" w:ascii="仿宋" w:hAnsi="仿宋" w:eastAsia="仿宋" w:cs="仿宋"/>
          <w:sz w:val="28"/>
          <w:szCs w:val="28"/>
        </w:rPr>
        <w:t>吨，同比下降</w:t>
      </w:r>
      <w:r>
        <w:rPr>
          <w:rFonts w:ascii="仿宋" w:hAnsi="仿宋" w:eastAsia="仿宋" w:cs="仿宋"/>
          <w:sz w:val="28"/>
          <w:szCs w:val="28"/>
        </w:rPr>
        <w:t>5%</w:t>
      </w:r>
      <w:r>
        <w:rPr>
          <w:rFonts w:hint="eastAsia" w:ascii="仿宋" w:hAnsi="仿宋" w:eastAsia="仿宋" w:cs="仿宋"/>
          <w:sz w:val="28"/>
          <w:szCs w:val="28"/>
        </w:rPr>
        <w:t>。中国占世界黄金产量总比重从</w:t>
      </w:r>
      <w:r>
        <w:rPr>
          <w:rFonts w:ascii="仿宋" w:hAnsi="仿宋" w:eastAsia="仿宋" w:cs="仿宋"/>
          <w:sz w:val="28"/>
          <w:szCs w:val="28"/>
        </w:rPr>
        <w:t>2011</w:t>
      </w:r>
      <w:r>
        <w:rPr>
          <w:rFonts w:hint="eastAsia" w:ascii="仿宋" w:hAnsi="仿宋" w:eastAsia="仿宋" w:cs="仿宋"/>
          <w:sz w:val="28"/>
          <w:szCs w:val="28"/>
        </w:rPr>
        <w:t>年的</w:t>
      </w:r>
      <w:r>
        <w:rPr>
          <w:rFonts w:ascii="仿宋" w:hAnsi="仿宋" w:eastAsia="仿宋" w:cs="仿宋"/>
          <w:sz w:val="28"/>
          <w:szCs w:val="28"/>
        </w:rPr>
        <w:t>8.02%</w:t>
      </w:r>
      <w:r>
        <w:rPr>
          <w:rFonts w:hint="eastAsia" w:ascii="仿宋" w:hAnsi="仿宋" w:eastAsia="仿宋" w:cs="仿宋"/>
          <w:sz w:val="28"/>
          <w:szCs w:val="28"/>
        </w:rPr>
        <w:t>提高到</w:t>
      </w:r>
      <w:r>
        <w:rPr>
          <w:rFonts w:ascii="仿宋" w:hAnsi="仿宋" w:eastAsia="仿宋" w:cs="仿宋"/>
          <w:sz w:val="28"/>
          <w:szCs w:val="28"/>
        </w:rPr>
        <w:t>2020</w:t>
      </w:r>
      <w:r>
        <w:rPr>
          <w:rFonts w:hint="eastAsia" w:ascii="仿宋" w:hAnsi="仿宋" w:eastAsia="仿宋" w:cs="仿宋"/>
          <w:sz w:val="28"/>
          <w:szCs w:val="28"/>
        </w:rPr>
        <w:t>年的</w:t>
      </w:r>
      <w:r>
        <w:rPr>
          <w:rFonts w:ascii="仿宋" w:hAnsi="仿宋" w:eastAsia="仿宋" w:cs="仿宋"/>
          <w:sz w:val="28"/>
          <w:szCs w:val="28"/>
        </w:rPr>
        <w:t>10.21%</w:t>
      </w:r>
      <w:r>
        <w:rPr>
          <w:rFonts w:hint="eastAsia" w:ascii="仿宋" w:hAnsi="仿宋" w:eastAsia="仿宋" w:cs="仿宋"/>
          <w:sz w:val="28"/>
          <w:szCs w:val="28"/>
        </w:rPr>
        <w:t>，最高年份在</w:t>
      </w:r>
      <w:r>
        <w:rPr>
          <w:rFonts w:ascii="仿宋" w:hAnsi="仿宋" w:eastAsia="仿宋" w:cs="仿宋"/>
          <w:sz w:val="28"/>
          <w:szCs w:val="28"/>
        </w:rPr>
        <w:t>2014</w:t>
      </w:r>
      <w:r>
        <w:rPr>
          <w:rFonts w:hint="eastAsia" w:ascii="仿宋" w:hAnsi="仿宋" w:eastAsia="仿宋" w:cs="仿宋"/>
          <w:sz w:val="28"/>
          <w:szCs w:val="28"/>
        </w:rPr>
        <w:t>年占比最高达到</w:t>
      </w:r>
      <w:r>
        <w:rPr>
          <w:rFonts w:ascii="仿宋" w:hAnsi="仿宋" w:eastAsia="仿宋" w:cs="仿宋"/>
          <w:sz w:val="28"/>
          <w:szCs w:val="28"/>
        </w:rPr>
        <w:t>11.68%</w:t>
      </w:r>
      <w:r>
        <w:rPr>
          <w:rFonts w:hint="eastAsia" w:ascii="仿宋" w:hAnsi="仿宋" w:eastAsia="仿宋" w:cs="仿宋"/>
          <w:sz w:val="28"/>
          <w:szCs w:val="28"/>
        </w:rPr>
        <w:t>。据中国黄金协会统计数据，</w:t>
      </w:r>
      <w:r>
        <w:rPr>
          <w:rFonts w:ascii="仿宋" w:hAnsi="仿宋" w:eastAsia="仿宋" w:cs="仿宋"/>
          <w:sz w:val="28"/>
          <w:szCs w:val="28"/>
        </w:rPr>
        <w:t>2011-2020</w:t>
      </w:r>
      <w:r>
        <w:rPr>
          <w:rFonts w:hint="eastAsia" w:ascii="仿宋" w:hAnsi="仿宋" w:eastAsia="仿宋" w:cs="仿宋"/>
          <w:sz w:val="28"/>
          <w:szCs w:val="28"/>
        </w:rPr>
        <w:t>年，中国黄金总产量年均增长</w:t>
      </w:r>
      <w:r>
        <w:rPr>
          <w:rFonts w:ascii="仿宋" w:hAnsi="仿宋" w:eastAsia="仿宋" w:cs="仿宋"/>
          <w:sz w:val="28"/>
          <w:szCs w:val="28"/>
        </w:rPr>
        <w:t>3.69%</w:t>
      </w:r>
      <w:r>
        <w:rPr>
          <w:rFonts w:hint="eastAsia" w:ascii="仿宋" w:hAnsi="仿宋" w:eastAsia="仿宋" w:cs="仿宋"/>
          <w:sz w:val="28"/>
          <w:szCs w:val="28"/>
        </w:rPr>
        <w:t>。而</w:t>
      </w:r>
      <w:r>
        <w:rPr>
          <w:rFonts w:ascii="仿宋" w:hAnsi="仿宋" w:eastAsia="仿宋" w:cs="仿宋"/>
          <w:sz w:val="28"/>
          <w:szCs w:val="28"/>
        </w:rPr>
        <w:t>2017</w:t>
      </w:r>
      <w:r>
        <w:rPr>
          <w:rFonts w:hint="eastAsia" w:ascii="仿宋" w:hAnsi="仿宋" w:eastAsia="仿宋" w:cs="仿宋"/>
          <w:sz w:val="28"/>
          <w:szCs w:val="28"/>
        </w:rPr>
        <w:t>年开始国家对环保监管等加强倡导国家生态文明建设，中国黄金行业不断转变发展方式、优化产业结构，最近</w:t>
      </w:r>
      <w:r>
        <w:rPr>
          <w:rFonts w:ascii="仿宋" w:hAnsi="仿宋" w:eastAsia="仿宋" w:cs="仿宋"/>
          <w:sz w:val="28"/>
          <w:szCs w:val="28"/>
        </w:rPr>
        <w:t>4</w:t>
      </w:r>
      <w:r>
        <w:rPr>
          <w:rFonts w:hint="eastAsia" w:ascii="仿宋" w:hAnsi="仿宋" w:eastAsia="仿宋" w:cs="仿宋"/>
          <w:sz w:val="28"/>
          <w:szCs w:val="28"/>
        </w:rPr>
        <w:t>年黄金产量持续下降。</w:t>
      </w:r>
    </w:p>
    <w:p>
      <w:pPr>
        <w:pStyle w:val="4"/>
        <w:spacing w:before="240" w:after="120" w:line="415" w:lineRule="auto"/>
        <w:rPr>
          <w:rFonts w:ascii="仿宋" w:hAnsi="仿宋" w:eastAsia="仿宋" w:cs="Times New Roman"/>
          <w:sz w:val="28"/>
          <w:szCs w:val="28"/>
        </w:rPr>
      </w:pPr>
      <w:bookmarkStart w:id="13" w:name="_Toc70684627"/>
      <w:r>
        <w:rPr>
          <w:rFonts w:ascii="仿宋" w:hAnsi="仿宋" w:eastAsia="仿宋" w:cs="仿宋"/>
          <w:sz w:val="28"/>
          <w:szCs w:val="28"/>
        </w:rPr>
        <w:t>2.</w:t>
      </w:r>
      <w:r>
        <w:rPr>
          <w:rFonts w:hint="eastAsia" w:ascii="仿宋" w:hAnsi="仿宋" w:eastAsia="仿宋" w:cs="仿宋"/>
          <w:sz w:val="28"/>
          <w:szCs w:val="28"/>
        </w:rPr>
        <w:t>国内外金需求现状及趋势</w:t>
      </w:r>
      <w:bookmarkEnd w:id="13"/>
    </w:p>
    <w:p>
      <w:pPr>
        <w:spacing w:line="560" w:lineRule="exact"/>
        <w:ind w:firstLine="31680" w:firstLineChars="250"/>
        <w:rPr>
          <w:rFonts w:ascii="仿宋" w:hAnsi="仿宋" w:eastAsia="仿宋" w:cs="Times New Roman"/>
          <w:sz w:val="28"/>
          <w:szCs w:val="28"/>
        </w:rPr>
      </w:pPr>
      <w:r>
        <w:rPr>
          <w:rFonts w:hint="eastAsia" w:ascii="仿宋" w:hAnsi="仿宋" w:eastAsia="仿宋" w:cs="仿宋"/>
          <w:sz w:val="28"/>
          <w:szCs w:val="28"/>
        </w:rPr>
        <w:t>近十年来世界黄金消费总体维持稳定。世界黄金协会（</w:t>
      </w:r>
      <w:r>
        <w:rPr>
          <w:rFonts w:ascii="仿宋" w:hAnsi="仿宋" w:eastAsia="仿宋" w:cs="仿宋"/>
          <w:sz w:val="28"/>
          <w:szCs w:val="28"/>
        </w:rPr>
        <w:t>WGC</w:t>
      </w:r>
      <w:r>
        <w:rPr>
          <w:rFonts w:hint="eastAsia" w:ascii="仿宋" w:hAnsi="仿宋" w:eastAsia="仿宋" w:cs="仿宋"/>
          <w:sz w:val="28"/>
          <w:szCs w:val="28"/>
        </w:rPr>
        <w:t>）公布数据显示，</w:t>
      </w:r>
      <w:r>
        <w:rPr>
          <w:rFonts w:ascii="仿宋" w:hAnsi="仿宋" w:eastAsia="仿宋" w:cs="仿宋"/>
          <w:sz w:val="28"/>
          <w:szCs w:val="28"/>
        </w:rPr>
        <w:t>2020</w:t>
      </w:r>
      <w:r>
        <w:rPr>
          <w:rFonts w:hint="eastAsia" w:ascii="仿宋" w:hAnsi="仿宋" w:eastAsia="仿宋" w:cs="仿宋"/>
          <w:sz w:val="28"/>
          <w:szCs w:val="28"/>
        </w:rPr>
        <w:t>年全球黄金需求总量为</w:t>
      </w:r>
      <w:r>
        <w:rPr>
          <w:rFonts w:ascii="仿宋" w:hAnsi="仿宋" w:eastAsia="仿宋" w:cs="仿宋"/>
          <w:sz w:val="28"/>
          <w:szCs w:val="28"/>
        </w:rPr>
        <w:t>3675</w:t>
      </w:r>
      <w:r>
        <w:rPr>
          <w:rFonts w:hint="eastAsia" w:ascii="仿宋" w:hAnsi="仿宋" w:eastAsia="仿宋" w:cs="仿宋"/>
          <w:sz w:val="28"/>
          <w:szCs w:val="28"/>
        </w:rPr>
        <w:t>吨，同比下降</w:t>
      </w:r>
      <w:r>
        <w:rPr>
          <w:rFonts w:ascii="仿宋" w:hAnsi="仿宋" w:eastAsia="仿宋" w:cs="仿宋"/>
          <w:sz w:val="28"/>
          <w:szCs w:val="28"/>
        </w:rPr>
        <w:t>16.5%</w:t>
      </w:r>
      <w:r>
        <w:rPr>
          <w:rFonts w:hint="eastAsia" w:ascii="仿宋" w:hAnsi="仿宋" w:eastAsia="仿宋" w:cs="仿宋"/>
          <w:sz w:val="28"/>
          <w:szCs w:val="28"/>
        </w:rPr>
        <w:t>。其中，黄金珠宝首饰消费</w:t>
      </w:r>
      <w:r>
        <w:rPr>
          <w:rFonts w:ascii="仿宋" w:hAnsi="仿宋" w:eastAsia="仿宋" w:cs="仿宋"/>
          <w:sz w:val="28"/>
          <w:szCs w:val="28"/>
        </w:rPr>
        <w:t>1324</w:t>
      </w:r>
      <w:r>
        <w:rPr>
          <w:rFonts w:hint="eastAsia" w:ascii="仿宋" w:hAnsi="仿宋" w:eastAsia="仿宋" w:cs="仿宋"/>
          <w:sz w:val="28"/>
          <w:szCs w:val="28"/>
        </w:rPr>
        <w:t>吨，同比下降</w:t>
      </w:r>
      <w:r>
        <w:rPr>
          <w:rFonts w:ascii="仿宋" w:hAnsi="仿宋" w:eastAsia="仿宋" w:cs="仿宋"/>
          <w:sz w:val="28"/>
          <w:szCs w:val="28"/>
        </w:rPr>
        <w:t>37.9%</w:t>
      </w:r>
      <w:r>
        <w:rPr>
          <w:rFonts w:hint="eastAsia" w:ascii="仿宋" w:hAnsi="仿宋" w:eastAsia="仿宋" w:cs="仿宋"/>
          <w:sz w:val="28"/>
          <w:szCs w:val="28"/>
        </w:rPr>
        <w:t>；工业用金</w:t>
      </w:r>
      <w:r>
        <w:rPr>
          <w:rFonts w:ascii="仿宋" w:hAnsi="仿宋" w:eastAsia="仿宋" w:cs="仿宋"/>
          <w:sz w:val="28"/>
          <w:szCs w:val="28"/>
        </w:rPr>
        <w:t>302</w:t>
      </w:r>
      <w:r>
        <w:rPr>
          <w:rFonts w:hint="eastAsia" w:ascii="仿宋" w:hAnsi="仿宋" w:eastAsia="仿宋" w:cs="仿宋"/>
          <w:sz w:val="28"/>
          <w:szCs w:val="28"/>
        </w:rPr>
        <w:t>吨，同比下降</w:t>
      </w:r>
      <w:r>
        <w:rPr>
          <w:rFonts w:ascii="仿宋" w:hAnsi="仿宋" w:eastAsia="仿宋" w:cs="仿宋"/>
          <w:sz w:val="28"/>
          <w:szCs w:val="28"/>
        </w:rPr>
        <w:t>7.4%</w:t>
      </w:r>
      <w:r>
        <w:rPr>
          <w:rFonts w:hint="eastAsia" w:ascii="仿宋" w:hAnsi="仿宋" w:eastAsia="仿宋" w:cs="仿宋"/>
          <w:sz w:val="28"/>
          <w:szCs w:val="28"/>
        </w:rPr>
        <w:t>；金条金币</w:t>
      </w:r>
      <w:r>
        <w:rPr>
          <w:rFonts w:ascii="仿宋" w:hAnsi="仿宋" w:eastAsia="仿宋" w:cs="仿宋"/>
          <w:sz w:val="28"/>
          <w:szCs w:val="28"/>
        </w:rPr>
        <w:t>896</w:t>
      </w:r>
      <w:r>
        <w:rPr>
          <w:rFonts w:hint="eastAsia" w:ascii="仿宋" w:hAnsi="仿宋" w:eastAsia="仿宋" w:cs="仿宋"/>
          <w:sz w:val="28"/>
          <w:szCs w:val="28"/>
        </w:rPr>
        <w:t>吨，同比增长</w:t>
      </w:r>
      <w:r>
        <w:rPr>
          <w:rFonts w:ascii="仿宋" w:hAnsi="仿宋" w:eastAsia="仿宋" w:cs="仿宋"/>
          <w:sz w:val="28"/>
          <w:szCs w:val="28"/>
        </w:rPr>
        <w:t>2.9%</w:t>
      </w:r>
      <w:r>
        <w:rPr>
          <w:rFonts w:hint="eastAsia" w:ascii="仿宋" w:hAnsi="仿宋" w:eastAsia="仿宋" w:cs="仿宋"/>
          <w:sz w:val="28"/>
          <w:szCs w:val="28"/>
        </w:rPr>
        <w:t>；黄金</w:t>
      </w:r>
      <w:r>
        <w:rPr>
          <w:rFonts w:ascii="仿宋" w:hAnsi="仿宋" w:eastAsia="仿宋" w:cs="仿宋"/>
          <w:sz w:val="28"/>
          <w:szCs w:val="28"/>
        </w:rPr>
        <w:t>ETF</w:t>
      </w:r>
      <w:r>
        <w:rPr>
          <w:rFonts w:hint="eastAsia" w:ascii="仿宋" w:hAnsi="仿宋" w:eastAsia="仿宋" w:cs="仿宋"/>
          <w:sz w:val="28"/>
          <w:szCs w:val="28"/>
        </w:rPr>
        <w:t>净需求增仓</w:t>
      </w:r>
      <w:r>
        <w:rPr>
          <w:rFonts w:ascii="仿宋" w:hAnsi="仿宋" w:eastAsia="仿宋" w:cs="仿宋"/>
          <w:sz w:val="28"/>
          <w:szCs w:val="28"/>
        </w:rPr>
        <w:t>877</w:t>
      </w:r>
      <w:r>
        <w:rPr>
          <w:rFonts w:hint="eastAsia" w:ascii="仿宋" w:hAnsi="仿宋" w:eastAsia="仿宋" w:cs="仿宋"/>
          <w:sz w:val="28"/>
          <w:szCs w:val="28"/>
        </w:rPr>
        <w:t>吨，同比增</w:t>
      </w:r>
      <w:r>
        <w:rPr>
          <w:rFonts w:ascii="仿宋" w:hAnsi="仿宋" w:eastAsia="仿宋" w:cs="仿宋"/>
          <w:sz w:val="28"/>
          <w:szCs w:val="28"/>
        </w:rPr>
        <w:t>120.2%</w:t>
      </w:r>
      <w:r>
        <w:rPr>
          <w:rFonts w:hint="eastAsia" w:ascii="仿宋" w:hAnsi="仿宋" w:eastAsia="仿宋" w:cs="仿宋"/>
          <w:sz w:val="28"/>
          <w:szCs w:val="28"/>
        </w:rPr>
        <w:t>；央行购金</w:t>
      </w:r>
      <w:r>
        <w:rPr>
          <w:rFonts w:ascii="仿宋" w:hAnsi="仿宋" w:eastAsia="仿宋" w:cs="仿宋"/>
          <w:sz w:val="28"/>
          <w:szCs w:val="28"/>
        </w:rPr>
        <w:t>273</w:t>
      </w:r>
      <w:r>
        <w:rPr>
          <w:rFonts w:hint="eastAsia" w:ascii="仿宋" w:hAnsi="仿宋" w:eastAsia="仿宋" w:cs="仿宋"/>
          <w:sz w:val="28"/>
          <w:szCs w:val="28"/>
        </w:rPr>
        <w:t>吨，同比下降</w:t>
      </w:r>
      <w:r>
        <w:rPr>
          <w:rFonts w:ascii="仿宋" w:hAnsi="仿宋" w:eastAsia="仿宋" w:cs="仿宋"/>
          <w:sz w:val="28"/>
          <w:szCs w:val="28"/>
        </w:rPr>
        <w:t>59.2%</w:t>
      </w:r>
      <w:r>
        <w:rPr>
          <w:rFonts w:hint="eastAsia" w:ascii="仿宋" w:hAnsi="仿宋" w:eastAsia="仿宋" w:cs="仿宋"/>
          <w:sz w:val="28"/>
          <w:szCs w:val="28"/>
        </w:rPr>
        <w:t>。黄金</w:t>
      </w:r>
      <w:r>
        <w:rPr>
          <w:rFonts w:ascii="仿宋" w:hAnsi="仿宋" w:eastAsia="仿宋" w:cs="仿宋"/>
          <w:sz w:val="28"/>
          <w:szCs w:val="28"/>
        </w:rPr>
        <w:t>ETF</w:t>
      </w:r>
      <w:r>
        <w:rPr>
          <w:rFonts w:hint="eastAsia" w:ascii="仿宋" w:hAnsi="仿宋" w:eastAsia="仿宋" w:cs="仿宋"/>
          <w:sz w:val="28"/>
          <w:szCs w:val="28"/>
        </w:rPr>
        <w:t>产品净需求持仓大增成为</w:t>
      </w:r>
      <w:r>
        <w:rPr>
          <w:rFonts w:ascii="仿宋" w:hAnsi="仿宋" w:eastAsia="仿宋" w:cs="仿宋"/>
          <w:sz w:val="28"/>
          <w:szCs w:val="28"/>
        </w:rPr>
        <w:t>2020</w:t>
      </w:r>
      <w:r>
        <w:rPr>
          <w:rFonts w:hint="eastAsia" w:ascii="仿宋" w:hAnsi="仿宋" w:eastAsia="仿宋" w:cs="仿宋"/>
          <w:sz w:val="28"/>
          <w:szCs w:val="28"/>
        </w:rPr>
        <w:t>年黄金市场最大亮点，并成为</w:t>
      </w:r>
      <w:r>
        <w:rPr>
          <w:rFonts w:ascii="仿宋" w:hAnsi="仿宋" w:eastAsia="仿宋" w:cs="仿宋"/>
          <w:sz w:val="28"/>
          <w:szCs w:val="28"/>
        </w:rPr>
        <w:t>2020</w:t>
      </w:r>
      <w:r>
        <w:rPr>
          <w:rFonts w:hint="eastAsia" w:ascii="仿宋" w:hAnsi="仿宋" w:eastAsia="仿宋" w:cs="仿宋"/>
          <w:sz w:val="28"/>
          <w:szCs w:val="28"/>
        </w:rPr>
        <w:t>年国际金价大涨的重要因素。</w:t>
      </w:r>
    </w:p>
    <w:p>
      <w:pPr>
        <w:spacing w:line="560" w:lineRule="exact"/>
        <w:ind w:firstLine="31680" w:firstLineChars="250"/>
        <w:rPr>
          <w:rFonts w:ascii="仿宋" w:hAnsi="仿宋" w:eastAsia="仿宋" w:cs="Times New Roman"/>
          <w:sz w:val="28"/>
          <w:szCs w:val="28"/>
        </w:rPr>
      </w:pPr>
      <w:r>
        <w:rPr>
          <w:rFonts w:hint="eastAsia" w:ascii="仿宋" w:hAnsi="仿宋" w:eastAsia="仿宋" w:cs="仿宋"/>
          <w:sz w:val="28"/>
          <w:szCs w:val="28"/>
        </w:rPr>
        <w:t>中国</w:t>
      </w:r>
      <w:r>
        <w:rPr>
          <w:rFonts w:ascii="仿宋" w:hAnsi="仿宋" w:eastAsia="仿宋" w:cs="仿宋"/>
          <w:sz w:val="28"/>
          <w:szCs w:val="28"/>
        </w:rPr>
        <w:t>2020</w:t>
      </w:r>
      <w:r>
        <w:rPr>
          <w:rFonts w:hint="eastAsia" w:ascii="仿宋" w:hAnsi="仿宋" w:eastAsia="仿宋" w:cs="仿宋"/>
          <w:sz w:val="28"/>
          <w:szCs w:val="28"/>
        </w:rPr>
        <w:t>年总计消费黄金</w:t>
      </w:r>
      <w:r>
        <w:rPr>
          <w:rFonts w:ascii="仿宋" w:hAnsi="仿宋" w:eastAsia="仿宋" w:cs="仿宋"/>
          <w:sz w:val="28"/>
          <w:szCs w:val="28"/>
        </w:rPr>
        <w:t>821</w:t>
      </w:r>
      <w:r>
        <w:rPr>
          <w:rFonts w:hint="eastAsia" w:ascii="仿宋" w:hAnsi="仿宋" w:eastAsia="仿宋" w:cs="仿宋"/>
          <w:sz w:val="28"/>
          <w:szCs w:val="28"/>
        </w:rPr>
        <w:t>吨，其中：黄金首饰消费</w:t>
      </w:r>
      <w:r>
        <w:rPr>
          <w:rFonts w:ascii="仿宋" w:hAnsi="仿宋" w:eastAsia="仿宋" w:cs="仿宋"/>
          <w:sz w:val="28"/>
          <w:szCs w:val="28"/>
        </w:rPr>
        <w:t>490.6</w:t>
      </w:r>
      <w:r>
        <w:rPr>
          <w:rFonts w:hint="eastAsia" w:ascii="仿宋" w:hAnsi="仿宋" w:eastAsia="仿宋" w:cs="仿宋"/>
          <w:sz w:val="28"/>
          <w:szCs w:val="28"/>
        </w:rPr>
        <w:t>吨，同比下降</w:t>
      </w:r>
      <w:r>
        <w:rPr>
          <w:rFonts w:ascii="仿宋" w:hAnsi="仿宋" w:eastAsia="仿宋" w:cs="仿宋"/>
          <w:sz w:val="28"/>
          <w:szCs w:val="28"/>
        </w:rPr>
        <w:t>27.5%</w:t>
      </w:r>
      <w:r>
        <w:rPr>
          <w:rFonts w:hint="eastAsia" w:ascii="仿宋" w:hAnsi="仿宋" w:eastAsia="仿宋" w:cs="仿宋"/>
          <w:sz w:val="28"/>
          <w:szCs w:val="28"/>
        </w:rPr>
        <w:t>；金条及金币</w:t>
      </w:r>
      <w:r>
        <w:rPr>
          <w:rFonts w:ascii="仿宋" w:hAnsi="仿宋" w:eastAsia="仿宋" w:cs="仿宋"/>
          <w:sz w:val="28"/>
          <w:szCs w:val="28"/>
        </w:rPr>
        <w:t>246.6</w:t>
      </w:r>
      <w:r>
        <w:rPr>
          <w:rFonts w:hint="eastAsia" w:ascii="仿宋" w:hAnsi="仿宋" w:eastAsia="仿宋" w:cs="仿宋"/>
          <w:sz w:val="28"/>
          <w:szCs w:val="28"/>
        </w:rPr>
        <w:t>吨，同比增长</w:t>
      </w:r>
      <w:r>
        <w:rPr>
          <w:rFonts w:ascii="仿宋" w:hAnsi="仿宋" w:eastAsia="仿宋" w:cs="仿宋"/>
          <w:sz w:val="28"/>
          <w:szCs w:val="28"/>
        </w:rPr>
        <w:t>9.2%</w:t>
      </w:r>
      <w:r>
        <w:rPr>
          <w:rFonts w:hint="eastAsia" w:ascii="仿宋" w:hAnsi="仿宋" w:eastAsia="仿宋" w:cs="仿宋"/>
          <w:sz w:val="28"/>
          <w:szCs w:val="28"/>
        </w:rPr>
        <w:t>；工业及其他领域消费金</w:t>
      </w:r>
      <w:r>
        <w:rPr>
          <w:rFonts w:ascii="仿宋" w:hAnsi="仿宋" w:eastAsia="仿宋" w:cs="仿宋"/>
          <w:sz w:val="28"/>
          <w:szCs w:val="28"/>
        </w:rPr>
        <w:t>83.8</w:t>
      </w:r>
      <w:r>
        <w:rPr>
          <w:rFonts w:hint="eastAsia" w:ascii="仿宋" w:hAnsi="仿宋" w:eastAsia="仿宋" w:cs="仿宋"/>
          <w:sz w:val="28"/>
          <w:szCs w:val="28"/>
        </w:rPr>
        <w:t>吨，同比下降</w:t>
      </w:r>
      <w:r>
        <w:rPr>
          <w:rFonts w:ascii="仿宋" w:hAnsi="仿宋" w:eastAsia="仿宋" w:cs="仿宋"/>
          <w:sz w:val="28"/>
          <w:szCs w:val="28"/>
        </w:rPr>
        <w:t>16.8%</w:t>
      </w:r>
      <w:r>
        <w:rPr>
          <w:rFonts w:hint="eastAsia" w:ascii="仿宋" w:hAnsi="仿宋" w:eastAsia="仿宋" w:cs="仿宋"/>
          <w:sz w:val="28"/>
          <w:szCs w:val="28"/>
        </w:rPr>
        <w:t>。过去</w:t>
      </w:r>
      <w:r>
        <w:rPr>
          <w:rFonts w:ascii="仿宋" w:hAnsi="仿宋" w:eastAsia="仿宋" w:cs="仿宋"/>
          <w:sz w:val="28"/>
          <w:szCs w:val="28"/>
        </w:rPr>
        <w:t>5</w:t>
      </w:r>
      <w:r>
        <w:rPr>
          <w:rFonts w:hint="eastAsia" w:ascii="仿宋" w:hAnsi="仿宋" w:eastAsia="仿宋" w:cs="仿宋"/>
          <w:sz w:val="28"/>
          <w:szCs w:val="28"/>
        </w:rPr>
        <w:t>年（</w:t>
      </w:r>
      <w:r>
        <w:rPr>
          <w:rFonts w:ascii="仿宋" w:hAnsi="仿宋" w:eastAsia="仿宋" w:cs="仿宋"/>
          <w:sz w:val="28"/>
          <w:szCs w:val="28"/>
        </w:rPr>
        <w:t>2016-2020</w:t>
      </w:r>
      <w:r>
        <w:rPr>
          <w:rFonts w:hint="eastAsia" w:ascii="仿宋" w:hAnsi="仿宋" w:eastAsia="仿宋" w:cs="仿宋"/>
          <w:sz w:val="28"/>
          <w:szCs w:val="28"/>
        </w:rPr>
        <w:t>）中国黄金消费波动较大，</w:t>
      </w:r>
      <w:r>
        <w:rPr>
          <w:rFonts w:ascii="仿宋" w:hAnsi="仿宋" w:eastAsia="仿宋" w:cs="仿宋"/>
          <w:sz w:val="28"/>
          <w:szCs w:val="28"/>
        </w:rPr>
        <w:t>2018</w:t>
      </w:r>
      <w:r>
        <w:rPr>
          <w:rFonts w:hint="eastAsia" w:ascii="仿宋" w:hAnsi="仿宋" w:eastAsia="仿宋" w:cs="仿宋"/>
          <w:sz w:val="28"/>
          <w:szCs w:val="28"/>
        </w:rPr>
        <w:t>年最高达到</w:t>
      </w:r>
      <w:r>
        <w:rPr>
          <w:rFonts w:ascii="仿宋" w:hAnsi="仿宋" w:eastAsia="仿宋" w:cs="仿宋"/>
          <w:sz w:val="28"/>
          <w:szCs w:val="28"/>
        </w:rPr>
        <w:t>1151</w:t>
      </w:r>
      <w:r>
        <w:rPr>
          <w:rFonts w:hint="eastAsia" w:ascii="仿宋" w:hAnsi="仿宋" w:eastAsia="仿宋" w:cs="仿宋"/>
          <w:sz w:val="28"/>
          <w:szCs w:val="28"/>
        </w:rPr>
        <w:t>吨，不过受到新冠肺炎疫情冲击</w:t>
      </w:r>
      <w:r>
        <w:rPr>
          <w:rFonts w:ascii="仿宋" w:hAnsi="仿宋" w:eastAsia="仿宋" w:cs="仿宋"/>
          <w:sz w:val="28"/>
          <w:szCs w:val="28"/>
        </w:rPr>
        <w:t>2020</w:t>
      </w:r>
      <w:r>
        <w:rPr>
          <w:rFonts w:hint="eastAsia" w:ascii="仿宋" w:hAnsi="仿宋" w:eastAsia="仿宋" w:cs="仿宋"/>
          <w:sz w:val="28"/>
          <w:szCs w:val="28"/>
        </w:rPr>
        <w:t>年黄金消费大幅下降至</w:t>
      </w:r>
      <w:r>
        <w:rPr>
          <w:rFonts w:ascii="仿宋" w:hAnsi="仿宋" w:eastAsia="仿宋" w:cs="仿宋"/>
          <w:sz w:val="28"/>
          <w:szCs w:val="28"/>
        </w:rPr>
        <w:t>821</w:t>
      </w:r>
      <w:r>
        <w:rPr>
          <w:rFonts w:hint="eastAsia" w:ascii="仿宋" w:hAnsi="仿宋" w:eastAsia="仿宋" w:cs="仿宋"/>
          <w:sz w:val="28"/>
          <w:szCs w:val="28"/>
        </w:rPr>
        <w:t>吨。黄金的消费与国际黄金价格、国际国内经济形势、居民收入和资产投资偏好、黄金衍生品金融创新等密切相关。</w:t>
      </w:r>
    </w:p>
    <w:p>
      <w:pPr>
        <w:spacing w:line="520" w:lineRule="exact"/>
        <w:jc w:val="center"/>
        <w:rPr>
          <w:rFonts w:ascii="黑体" w:hAnsi="黑体" w:eastAsia="黑体" w:cs="Times New Roman"/>
        </w:rPr>
      </w:pPr>
      <w:r>
        <w:rPr>
          <w:rFonts w:hint="eastAsia" w:ascii="黑体" w:hAnsi="黑体" w:eastAsia="黑体" w:cs="黑体"/>
        </w:rPr>
        <w:t>表</w:t>
      </w:r>
      <w:r>
        <w:rPr>
          <w:rFonts w:ascii="黑体" w:hAnsi="黑体" w:eastAsia="黑体" w:cs="黑体"/>
        </w:rPr>
        <w:t>2-5  2016-2025</w:t>
      </w:r>
      <w:r>
        <w:rPr>
          <w:rFonts w:hint="eastAsia" w:ascii="黑体" w:hAnsi="黑体" w:eastAsia="黑体" w:cs="黑体"/>
        </w:rPr>
        <w:t>年世界黄金市场供求平衡及预测</w:t>
      </w:r>
      <w:r>
        <w:rPr>
          <w:rFonts w:ascii="黑体" w:hAnsi="黑体" w:eastAsia="黑体" w:cs="黑体"/>
        </w:rPr>
        <w:t xml:space="preserve">    </w:t>
      </w:r>
      <w:r>
        <w:rPr>
          <w:rFonts w:hint="eastAsia" w:ascii="黑体" w:hAnsi="黑体" w:eastAsia="黑体" w:cs="黑体"/>
        </w:rPr>
        <w:t>（单位：吨黄金）</w:t>
      </w:r>
    </w:p>
    <w:tbl>
      <w:tblPr>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
      <w:tblGrid>
        <w:gridCol w:w="1551"/>
        <w:gridCol w:w="1549"/>
        <w:gridCol w:w="1547"/>
        <w:gridCol w:w="1547"/>
        <w:gridCol w:w="1547"/>
        <w:gridCol w:w="1545"/>
      </w:tblGrid>
      <w:tr>
        <w:trPr>
          <w:jc w:val="center"/>
        </w:trPr>
        <w:tc>
          <w:tcPr>
            <w:tcW w:w="1551" w:type="dxa"/>
            <w:shd w:val="clear" w:color="auto" w:fill="D9D9D9"/>
            <w:vAlign w:val="center"/>
          </w:tcPr>
          <w:p>
            <w:pPr>
              <w:jc w:val="center"/>
              <w:rPr>
                <w:rFonts w:ascii="宋体" w:cs="Times New Roman"/>
                <w:u w:val="single"/>
              </w:rPr>
            </w:pPr>
          </w:p>
        </w:tc>
        <w:tc>
          <w:tcPr>
            <w:tcW w:w="1549" w:type="dxa"/>
            <w:shd w:val="clear" w:color="auto" w:fill="D9D9D9"/>
            <w:vAlign w:val="center"/>
          </w:tcPr>
          <w:p>
            <w:pPr>
              <w:jc w:val="center"/>
              <w:rPr>
                <w:rFonts w:ascii="宋体" w:hAnsi="宋体" w:cs="宋体"/>
                <w:b/>
                <w:bCs/>
                <w:kern w:val="0"/>
                <w:u w:val="single"/>
              </w:rPr>
            </w:pPr>
            <w:r>
              <w:rPr>
                <w:rFonts w:ascii="宋体" w:hAnsi="宋体" w:cs="宋体"/>
                <w:b/>
                <w:bCs/>
                <w:kern w:val="0"/>
                <w:u w:val="single"/>
              </w:rPr>
              <w:t>2016</w:t>
            </w:r>
          </w:p>
        </w:tc>
        <w:tc>
          <w:tcPr>
            <w:tcW w:w="1547" w:type="dxa"/>
            <w:shd w:val="clear" w:color="auto" w:fill="D9D9D9"/>
            <w:vAlign w:val="center"/>
          </w:tcPr>
          <w:p>
            <w:pPr>
              <w:jc w:val="center"/>
              <w:rPr>
                <w:rFonts w:ascii="宋体" w:hAnsi="宋体" w:cs="宋体"/>
                <w:b/>
                <w:bCs/>
                <w:kern w:val="0"/>
                <w:u w:val="single"/>
              </w:rPr>
            </w:pPr>
            <w:r>
              <w:rPr>
                <w:rFonts w:ascii="宋体" w:hAnsi="宋体" w:cs="宋体"/>
                <w:b/>
                <w:bCs/>
                <w:kern w:val="0"/>
                <w:u w:val="single"/>
              </w:rPr>
              <w:t>2017</w:t>
            </w:r>
          </w:p>
        </w:tc>
        <w:tc>
          <w:tcPr>
            <w:tcW w:w="1547" w:type="dxa"/>
            <w:shd w:val="clear" w:color="auto" w:fill="D9D9D9"/>
            <w:vAlign w:val="center"/>
          </w:tcPr>
          <w:p>
            <w:pPr>
              <w:jc w:val="center"/>
              <w:rPr>
                <w:rFonts w:ascii="宋体" w:hAnsi="宋体" w:cs="宋体"/>
                <w:b/>
                <w:bCs/>
                <w:kern w:val="0"/>
                <w:u w:val="single"/>
              </w:rPr>
            </w:pPr>
            <w:r>
              <w:rPr>
                <w:rFonts w:ascii="宋体" w:hAnsi="宋体" w:cs="宋体"/>
                <w:b/>
                <w:bCs/>
                <w:kern w:val="0"/>
                <w:u w:val="single"/>
              </w:rPr>
              <w:t>2018</w:t>
            </w:r>
          </w:p>
        </w:tc>
        <w:tc>
          <w:tcPr>
            <w:tcW w:w="1547" w:type="dxa"/>
            <w:shd w:val="clear" w:color="auto" w:fill="D9D9D9"/>
            <w:vAlign w:val="center"/>
          </w:tcPr>
          <w:p>
            <w:pPr>
              <w:jc w:val="center"/>
              <w:rPr>
                <w:rFonts w:ascii="宋体" w:hAnsi="宋体" w:cs="宋体"/>
                <w:b/>
                <w:bCs/>
                <w:kern w:val="0"/>
                <w:u w:val="single"/>
              </w:rPr>
            </w:pPr>
            <w:r>
              <w:rPr>
                <w:rFonts w:ascii="宋体" w:hAnsi="宋体" w:cs="宋体"/>
                <w:b/>
                <w:bCs/>
                <w:kern w:val="0"/>
                <w:u w:val="single"/>
              </w:rPr>
              <w:t>2019</w:t>
            </w:r>
          </w:p>
        </w:tc>
        <w:tc>
          <w:tcPr>
            <w:tcW w:w="1545" w:type="dxa"/>
            <w:shd w:val="clear" w:color="auto" w:fill="D9D9D9"/>
            <w:vAlign w:val="center"/>
          </w:tcPr>
          <w:p>
            <w:pPr>
              <w:widowControl/>
              <w:jc w:val="center"/>
              <w:rPr>
                <w:rFonts w:ascii="宋体" w:hAnsi="宋体" w:cs="宋体"/>
                <w:b/>
                <w:bCs/>
                <w:kern w:val="0"/>
                <w:u w:val="single"/>
              </w:rPr>
            </w:pPr>
            <w:r>
              <w:rPr>
                <w:rFonts w:ascii="宋体" w:hAnsi="宋体" w:cs="宋体"/>
                <w:b/>
                <w:bCs/>
                <w:kern w:val="0"/>
                <w:u w:val="single"/>
              </w:rPr>
              <w:t>2020</w:t>
            </w:r>
          </w:p>
        </w:tc>
      </w:tr>
      <w:tr>
        <w:trPr>
          <w:jc w:val="center"/>
        </w:trPr>
        <w:tc>
          <w:tcPr>
            <w:tcW w:w="1551" w:type="dxa"/>
            <w:vAlign w:val="center"/>
          </w:tcPr>
          <w:p>
            <w:pPr>
              <w:jc w:val="center"/>
              <w:rPr>
                <w:rFonts w:ascii="宋体" w:cs="Times New Roman"/>
              </w:rPr>
            </w:pPr>
            <w:r>
              <w:rPr>
                <w:rFonts w:hint="eastAsia" w:ascii="宋体" w:hAnsi="宋体" w:cs="宋体"/>
              </w:rPr>
              <w:t>产</w:t>
            </w:r>
            <w:r>
              <w:rPr>
                <w:rFonts w:ascii="宋体" w:hAnsi="宋体" w:cs="宋体"/>
              </w:rPr>
              <w:t xml:space="preserve">  </w:t>
            </w:r>
            <w:r>
              <w:rPr>
                <w:rFonts w:hint="eastAsia" w:ascii="宋体" w:hAnsi="宋体" w:cs="宋体"/>
              </w:rPr>
              <w:t>量</w:t>
            </w:r>
          </w:p>
        </w:tc>
        <w:tc>
          <w:tcPr>
            <w:tcW w:w="1549" w:type="dxa"/>
            <w:vAlign w:val="center"/>
          </w:tcPr>
          <w:p>
            <w:pPr>
              <w:jc w:val="center"/>
              <w:rPr>
                <w:rFonts w:ascii="Times New Roman" w:hAnsi="Times New Roman" w:cs="Times New Roman"/>
              </w:rPr>
            </w:pPr>
            <w:r>
              <w:rPr>
                <w:rFonts w:ascii="Times New Roman" w:hAnsi="Times New Roman" w:cs="Times New Roman"/>
              </w:rPr>
              <w:t>4708</w:t>
            </w:r>
          </w:p>
        </w:tc>
        <w:tc>
          <w:tcPr>
            <w:tcW w:w="1547" w:type="dxa"/>
            <w:vAlign w:val="center"/>
          </w:tcPr>
          <w:p>
            <w:pPr>
              <w:jc w:val="center"/>
              <w:rPr>
                <w:rFonts w:ascii="Times New Roman" w:hAnsi="Times New Roman" w:cs="Times New Roman"/>
              </w:rPr>
            </w:pPr>
            <w:r>
              <w:rPr>
                <w:rFonts w:ascii="Times New Roman" w:hAnsi="Times New Roman" w:cs="Times New Roman"/>
              </w:rPr>
              <w:t>4620</w:t>
            </w:r>
          </w:p>
        </w:tc>
        <w:tc>
          <w:tcPr>
            <w:tcW w:w="1547" w:type="dxa"/>
            <w:vAlign w:val="center"/>
          </w:tcPr>
          <w:p>
            <w:pPr>
              <w:jc w:val="center"/>
              <w:rPr>
                <w:rFonts w:ascii="Times New Roman" w:hAnsi="Times New Roman" w:cs="Times New Roman"/>
              </w:rPr>
            </w:pPr>
            <w:r>
              <w:rPr>
                <w:rFonts w:ascii="Times New Roman" w:hAnsi="Times New Roman" w:cs="Times New Roman"/>
              </w:rPr>
              <w:t>4701</w:t>
            </w:r>
          </w:p>
        </w:tc>
        <w:tc>
          <w:tcPr>
            <w:tcW w:w="1547" w:type="dxa"/>
            <w:vAlign w:val="center"/>
          </w:tcPr>
          <w:p>
            <w:pPr>
              <w:jc w:val="center"/>
              <w:rPr>
                <w:rFonts w:ascii="Times New Roman" w:hAnsi="Times New Roman" w:cs="Times New Roman"/>
              </w:rPr>
            </w:pPr>
            <w:r>
              <w:rPr>
                <w:rFonts w:ascii="Times New Roman" w:hAnsi="Times New Roman" w:cs="Times New Roman"/>
              </w:rPr>
              <w:t>4814</w:t>
            </w:r>
          </w:p>
        </w:tc>
        <w:tc>
          <w:tcPr>
            <w:tcW w:w="1545" w:type="dxa"/>
            <w:vAlign w:val="center"/>
          </w:tcPr>
          <w:p>
            <w:pPr>
              <w:jc w:val="center"/>
              <w:rPr>
                <w:rFonts w:ascii="Times New Roman" w:hAnsi="Times New Roman" w:cs="Times New Roman"/>
              </w:rPr>
            </w:pPr>
            <w:r>
              <w:rPr>
                <w:rFonts w:ascii="Times New Roman" w:hAnsi="Times New Roman" w:cs="Times New Roman"/>
              </w:rPr>
              <w:t>4698</w:t>
            </w:r>
          </w:p>
        </w:tc>
      </w:tr>
      <w:tr>
        <w:trPr>
          <w:jc w:val="center"/>
        </w:trPr>
        <w:tc>
          <w:tcPr>
            <w:tcW w:w="1551" w:type="dxa"/>
            <w:vAlign w:val="center"/>
          </w:tcPr>
          <w:p>
            <w:pPr>
              <w:jc w:val="center"/>
              <w:rPr>
                <w:rFonts w:ascii="宋体" w:cs="Times New Roman"/>
              </w:rPr>
            </w:pPr>
            <w:r>
              <w:rPr>
                <w:rFonts w:hint="eastAsia" w:ascii="宋体" w:hAnsi="宋体" w:cs="宋体"/>
              </w:rPr>
              <w:t>需求量</w:t>
            </w:r>
          </w:p>
        </w:tc>
        <w:tc>
          <w:tcPr>
            <w:tcW w:w="1549" w:type="dxa"/>
            <w:vAlign w:val="center"/>
          </w:tcPr>
          <w:p>
            <w:pPr>
              <w:jc w:val="center"/>
              <w:rPr>
                <w:rFonts w:ascii="Times New Roman" w:hAnsi="Times New Roman" w:cs="Times New Roman"/>
              </w:rPr>
            </w:pPr>
            <w:r>
              <w:rPr>
                <w:rFonts w:ascii="Times New Roman" w:hAnsi="Times New Roman" w:cs="Times New Roman"/>
              </w:rPr>
              <w:t>4351</w:t>
            </w:r>
          </w:p>
        </w:tc>
        <w:tc>
          <w:tcPr>
            <w:tcW w:w="1547" w:type="dxa"/>
            <w:vAlign w:val="center"/>
          </w:tcPr>
          <w:p>
            <w:pPr>
              <w:jc w:val="center"/>
              <w:rPr>
                <w:rFonts w:ascii="Times New Roman" w:hAnsi="Times New Roman" w:cs="Times New Roman"/>
              </w:rPr>
            </w:pPr>
            <w:r>
              <w:rPr>
                <w:rFonts w:ascii="Times New Roman" w:hAnsi="Times New Roman" w:cs="Times New Roman"/>
              </w:rPr>
              <w:t>4284</w:t>
            </w:r>
          </w:p>
        </w:tc>
        <w:tc>
          <w:tcPr>
            <w:tcW w:w="1547" w:type="dxa"/>
            <w:vAlign w:val="center"/>
          </w:tcPr>
          <w:p>
            <w:pPr>
              <w:jc w:val="center"/>
              <w:rPr>
                <w:rFonts w:ascii="Times New Roman" w:hAnsi="Times New Roman" w:cs="Times New Roman"/>
              </w:rPr>
            </w:pPr>
            <w:r>
              <w:rPr>
                <w:rFonts w:ascii="Times New Roman" w:hAnsi="Times New Roman" w:cs="Times New Roman"/>
              </w:rPr>
              <w:t>4436</w:t>
            </w:r>
          </w:p>
        </w:tc>
        <w:tc>
          <w:tcPr>
            <w:tcW w:w="1547" w:type="dxa"/>
            <w:vAlign w:val="center"/>
          </w:tcPr>
          <w:p>
            <w:pPr>
              <w:jc w:val="center"/>
              <w:rPr>
                <w:rFonts w:ascii="Times New Roman" w:hAnsi="Times New Roman" w:cs="Times New Roman"/>
              </w:rPr>
            </w:pPr>
            <w:r>
              <w:rPr>
                <w:rFonts w:ascii="Times New Roman" w:hAnsi="Times New Roman" w:cs="Times New Roman"/>
              </w:rPr>
              <w:t>4400</w:t>
            </w:r>
          </w:p>
        </w:tc>
        <w:tc>
          <w:tcPr>
            <w:tcW w:w="1545" w:type="dxa"/>
            <w:vAlign w:val="center"/>
          </w:tcPr>
          <w:p>
            <w:pPr>
              <w:jc w:val="center"/>
              <w:rPr>
                <w:rFonts w:ascii="Times New Roman" w:hAnsi="Times New Roman" w:cs="Times New Roman"/>
              </w:rPr>
            </w:pPr>
            <w:r>
              <w:rPr>
                <w:rFonts w:ascii="Times New Roman" w:hAnsi="Times New Roman" w:cs="Times New Roman"/>
              </w:rPr>
              <w:t>3675</w:t>
            </w:r>
          </w:p>
        </w:tc>
      </w:tr>
      <w:tr>
        <w:trPr>
          <w:jc w:val="center"/>
        </w:trPr>
        <w:tc>
          <w:tcPr>
            <w:tcW w:w="1551" w:type="dxa"/>
            <w:vAlign w:val="center"/>
          </w:tcPr>
          <w:p>
            <w:pPr>
              <w:jc w:val="center"/>
              <w:rPr>
                <w:rFonts w:ascii="宋体" w:cs="Times New Roman"/>
              </w:rPr>
            </w:pPr>
            <w:r>
              <w:rPr>
                <w:rFonts w:hint="eastAsia" w:ascii="宋体" w:hAnsi="宋体" w:cs="宋体"/>
              </w:rPr>
              <w:t>平</w:t>
            </w:r>
            <w:r>
              <w:rPr>
                <w:rFonts w:ascii="宋体" w:hAnsi="宋体" w:cs="宋体"/>
              </w:rPr>
              <w:t xml:space="preserve">  </w:t>
            </w:r>
            <w:r>
              <w:rPr>
                <w:rFonts w:hint="eastAsia" w:ascii="宋体" w:hAnsi="宋体" w:cs="宋体"/>
              </w:rPr>
              <w:t>衡</w:t>
            </w:r>
          </w:p>
        </w:tc>
        <w:tc>
          <w:tcPr>
            <w:tcW w:w="1549" w:type="dxa"/>
            <w:vAlign w:val="center"/>
          </w:tcPr>
          <w:p>
            <w:pPr>
              <w:jc w:val="center"/>
              <w:rPr>
                <w:rFonts w:ascii="Times New Roman" w:hAnsi="Times New Roman" w:cs="Times New Roman"/>
              </w:rPr>
            </w:pPr>
            <w:r>
              <w:rPr>
                <w:rFonts w:ascii="Times New Roman" w:hAnsi="Times New Roman" w:cs="Times New Roman"/>
              </w:rPr>
              <w:t>+357</w:t>
            </w:r>
          </w:p>
        </w:tc>
        <w:tc>
          <w:tcPr>
            <w:tcW w:w="1547" w:type="dxa"/>
            <w:vAlign w:val="center"/>
          </w:tcPr>
          <w:p>
            <w:pPr>
              <w:jc w:val="center"/>
              <w:rPr>
                <w:rFonts w:ascii="Times New Roman" w:hAnsi="Times New Roman" w:cs="Times New Roman"/>
              </w:rPr>
            </w:pPr>
            <w:r>
              <w:rPr>
                <w:rFonts w:ascii="Times New Roman" w:hAnsi="Times New Roman" w:cs="Times New Roman"/>
              </w:rPr>
              <w:t>+336</w:t>
            </w:r>
          </w:p>
        </w:tc>
        <w:tc>
          <w:tcPr>
            <w:tcW w:w="1547" w:type="dxa"/>
            <w:vAlign w:val="center"/>
          </w:tcPr>
          <w:p>
            <w:pPr>
              <w:jc w:val="center"/>
              <w:rPr>
                <w:rFonts w:ascii="Times New Roman" w:hAnsi="Times New Roman" w:cs="Times New Roman"/>
              </w:rPr>
            </w:pPr>
            <w:r>
              <w:rPr>
                <w:rFonts w:ascii="Times New Roman" w:hAnsi="Times New Roman" w:cs="Times New Roman"/>
              </w:rPr>
              <w:t>+265</w:t>
            </w:r>
          </w:p>
        </w:tc>
        <w:tc>
          <w:tcPr>
            <w:tcW w:w="1547" w:type="dxa"/>
            <w:vAlign w:val="center"/>
          </w:tcPr>
          <w:p>
            <w:pPr>
              <w:jc w:val="center"/>
              <w:rPr>
                <w:rFonts w:ascii="Times New Roman" w:hAnsi="Times New Roman" w:cs="Times New Roman"/>
              </w:rPr>
            </w:pPr>
            <w:r>
              <w:rPr>
                <w:rFonts w:ascii="Times New Roman" w:hAnsi="Times New Roman" w:cs="Times New Roman"/>
              </w:rPr>
              <w:t>+414</w:t>
            </w:r>
          </w:p>
        </w:tc>
        <w:tc>
          <w:tcPr>
            <w:tcW w:w="1545" w:type="dxa"/>
            <w:vAlign w:val="center"/>
          </w:tcPr>
          <w:p>
            <w:pPr>
              <w:jc w:val="center"/>
              <w:rPr>
                <w:rFonts w:ascii="Times New Roman" w:hAnsi="Times New Roman" w:cs="Times New Roman"/>
              </w:rPr>
            </w:pPr>
            <w:r>
              <w:rPr>
                <w:rFonts w:ascii="Times New Roman" w:hAnsi="Times New Roman" w:cs="Times New Roman"/>
              </w:rPr>
              <w:t>+1023</w:t>
            </w:r>
          </w:p>
        </w:tc>
      </w:tr>
      <w:tr>
        <w:trPr>
          <w:jc w:val="center"/>
        </w:trPr>
        <w:tc>
          <w:tcPr>
            <w:tcW w:w="1551" w:type="dxa"/>
            <w:shd w:val="clear" w:color="auto" w:fill="D9D9D9"/>
            <w:vAlign w:val="center"/>
          </w:tcPr>
          <w:p>
            <w:pPr>
              <w:jc w:val="center"/>
              <w:rPr>
                <w:rFonts w:ascii="宋体" w:cs="Times New Roman"/>
                <w:u w:val="single"/>
              </w:rPr>
            </w:pPr>
          </w:p>
        </w:tc>
        <w:tc>
          <w:tcPr>
            <w:tcW w:w="1549" w:type="dxa"/>
            <w:shd w:val="clear" w:color="auto" w:fill="D9D9D9"/>
            <w:vAlign w:val="center"/>
          </w:tcPr>
          <w:p>
            <w:pPr>
              <w:widowControl/>
              <w:jc w:val="right"/>
              <w:rPr>
                <w:rFonts w:ascii="宋体" w:cs="Times New Roman"/>
                <w:b/>
                <w:bCs/>
                <w:kern w:val="0"/>
                <w:u w:val="single"/>
              </w:rPr>
            </w:pPr>
            <w:r>
              <w:rPr>
                <w:rFonts w:ascii="宋体" w:hAnsi="宋体" w:cs="宋体"/>
                <w:b/>
                <w:bCs/>
                <w:kern w:val="0"/>
                <w:u w:val="single"/>
              </w:rPr>
              <w:t>2021</w:t>
            </w:r>
            <w:r>
              <w:rPr>
                <w:rFonts w:hint="eastAsia" w:ascii="宋体" w:hAnsi="宋体" w:cs="宋体"/>
                <w:b/>
                <w:bCs/>
                <w:kern w:val="0"/>
                <w:u w:val="single"/>
              </w:rPr>
              <w:t>（</w:t>
            </w:r>
            <w:r>
              <w:rPr>
                <w:rFonts w:ascii="宋体" w:hAnsi="宋体" w:cs="宋体"/>
                <w:b/>
                <w:bCs/>
                <w:kern w:val="0"/>
                <w:u w:val="single"/>
              </w:rPr>
              <w:t>f</w:t>
            </w:r>
            <w:r>
              <w:rPr>
                <w:rFonts w:hint="eastAsia" w:ascii="宋体" w:hAnsi="宋体" w:cs="宋体"/>
                <w:b/>
                <w:bCs/>
                <w:kern w:val="0"/>
                <w:u w:val="single"/>
              </w:rPr>
              <w:t>）</w:t>
            </w:r>
          </w:p>
        </w:tc>
        <w:tc>
          <w:tcPr>
            <w:tcW w:w="1547" w:type="dxa"/>
            <w:shd w:val="clear" w:color="auto" w:fill="D9D9D9"/>
            <w:vAlign w:val="center"/>
          </w:tcPr>
          <w:p>
            <w:pPr>
              <w:widowControl/>
              <w:jc w:val="right"/>
              <w:rPr>
                <w:rFonts w:ascii="宋体" w:cs="Times New Roman"/>
                <w:b/>
                <w:bCs/>
                <w:kern w:val="0"/>
                <w:u w:val="single"/>
              </w:rPr>
            </w:pPr>
            <w:r>
              <w:rPr>
                <w:rFonts w:ascii="宋体" w:hAnsi="宋体" w:cs="宋体"/>
                <w:b/>
                <w:bCs/>
                <w:kern w:val="0"/>
                <w:u w:val="single"/>
              </w:rPr>
              <w:t>2022</w:t>
            </w:r>
            <w:r>
              <w:rPr>
                <w:rFonts w:hint="eastAsia" w:ascii="宋体" w:hAnsi="宋体" w:cs="宋体"/>
                <w:b/>
                <w:bCs/>
                <w:kern w:val="0"/>
                <w:u w:val="single"/>
              </w:rPr>
              <w:t>（</w:t>
            </w:r>
            <w:r>
              <w:rPr>
                <w:rFonts w:ascii="宋体" w:hAnsi="宋体" w:cs="宋体"/>
                <w:b/>
                <w:bCs/>
                <w:kern w:val="0"/>
                <w:u w:val="single"/>
              </w:rPr>
              <w:t>f</w:t>
            </w:r>
            <w:r>
              <w:rPr>
                <w:rFonts w:hint="eastAsia" w:ascii="宋体" w:hAnsi="宋体" w:cs="宋体"/>
                <w:b/>
                <w:bCs/>
                <w:kern w:val="0"/>
                <w:u w:val="single"/>
              </w:rPr>
              <w:t>）</w:t>
            </w:r>
          </w:p>
        </w:tc>
        <w:tc>
          <w:tcPr>
            <w:tcW w:w="1547" w:type="dxa"/>
            <w:shd w:val="clear" w:color="auto" w:fill="D9D9D9"/>
            <w:vAlign w:val="center"/>
          </w:tcPr>
          <w:p>
            <w:pPr>
              <w:widowControl/>
              <w:jc w:val="right"/>
              <w:rPr>
                <w:rFonts w:ascii="宋体" w:cs="Times New Roman"/>
                <w:b/>
                <w:bCs/>
                <w:kern w:val="0"/>
                <w:u w:val="single"/>
              </w:rPr>
            </w:pPr>
            <w:r>
              <w:rPr>
                <w:rFonts w:ascii="宋体" w:hAnsi="宋体" w:cs="宋体"/>
                <w:b/>
                <w:bCs/>
                <w:kern w:val="0"/>
                <w:u w:val="single"/>
              </w:rPr>
              <w:t>2023</w:t>
            </w:r>
            <w:r>
              <w:rPr>
                <w:rFonts w:hint="eastAsia" w:ascii="宋体" w:hAnsi="宋体" w:cs="宋体"/>
                <w:b/>
                <w:bCs/>
                <w:kern w:val="0"/>
                <w:u w:val="single"/>
              </w:rPr>
              <w:t>（</w:t>
            </w:r>
            <w:r>
              <w:rPr>
                <w:rFonts w:ascii="宋体" w:hAnsi="宋体" w:cs="宋体"/>
                <w:b/>
                <w:bCs/>
                <w:kern w:val="0"/>
                <w:u w:val="single"/>
              </w:rPr>
              <w:t>f</w:t>
            </w:r>
            <w:r>
              <w:rPr>
                <w:rFonts w:hint="eastAsia" w:ascii="宋体" w:hAnsi="宋体" w:cs="宋体"/>
                <w:b/>
                <w:bCs/>
                <w:kern w:val="0"/>
                <w:u w:val="single"/>
              </w:rPr>
              <w:t>）</w:t>
            </w:r>
          </w:p>
        </w:tc>
        <w:tc>
          <w:tcPr>
            <w:tcW w:w="1547" w:type="dxa"/>
            <w:shd w:val="clear" w:color="auto" w:fill="D9D9D9"/>
            <w:vAlign w:val="center"/>
          </w:tcPr>
          <w:p>
            <w:pPr>
              <w:widowControl/>
              <w:jc w:val="right"/>
              <w:rPr>
                <w:rFonts w:ascii="宋体" w:cs="Times New Roman"/>
                <w:b/>
                <w:bCs/>
                <w:kern w:val="0"/>
                <w:u w:val="single"/>
              </w:rPr>
            </w:pPr>
            <w:r>
              <w:rPr>
                <w:rFonts w:ascii="宋体" w:hAnsi="宋体" w:cs="宋体"/>
                <w:b/>
                <w:bCs/>
                <w:kern w:val="0"/>
                <w:u w:val="single"/>
              </w:rPr>
              <w:t>2024</w:t>
            </w:r>
            <w:r>
              <w:rPr>
                <w:rFonts w:hint="eastAsia" w:ascii="宋体" w:hAnsi="宋体" w:cs="宋体"/>
                <w:b/>
                <w:bCs/>
                <w:kern w:val="0"/>
                <w:u w:val="single"/>
              </w:rPr>
              <w:t>（</w:t>
            </w:r>
            <w:r>
              <w:rPr>
                <w:rFonts w:ascii="宋体" w:hAnsi="宋体" w:cs="宋体"/>
                <w:b/>
                <w:bCs/>
                <w:kern w:val="0"/>
                <w:u w:val="single"/>
              </w:rPr>
              <w:t>f</w:t>
            </w:r>
            <w:r>
              <w:rPr>
                <w:rFonts w:hint="eastAsia" w:ascii="宋体" w:hAnsi="宋体" w:cs="宋体"/>
                <w:b/>
                <w:bCs/>
                <w:kern w:val="0"/>
                <w:u w:val="single"/>
              </w:rPr>
              <w:t>）</w:t>
            </w:r>
          </w:p>
        </w:tc>
        <w:tc>
          <w:tcPr>
            <w:tcW w:w="1545" w:type="dxa"/>
            <w:shd w:val="clear" w:color="auto" w:fill="D9D9D9"/>
            <w:vAlign w:val="center"/>
          </w:tcPr>
          <w:p>
            <w:pPr>
              <w:widowControl/>
              <w:jc w:val="right"/>
              <w:rPr>
                <w:rFonts w:ascii="宋体" w:cs="Times New Roman"/>
                <w:b/>
                <w:bCs/>
                <w:kern w:val="0"/>
                <w:u w:val="single"/>
              </w:rPr>
            </w:pPr>
            <w:r>
              <w:rPr>
                <w:rFonts w:ascii="宋体" w:hAnsi="宋体" w:cs="宋体"/>
                <w:b/>
                <w:bCs/>
                <w:kern w:val="0"/>
                <w:u w:val="single"/>
              </w:rPr>
              <w:t>2025</w:t>
            </w:r>
            <w:r>
              <w:rPr>
                <w:rFonts w:hint="eastAsia" w:ascii="宋体" w:hAnsi="宋体" w:cs="宋体"/>
                <w:b/>
                <w:bCs/>
                <w:kern w:val="0"/>
                <w:u w:val="single"/>
              </w:rPr>
              <w:t>（</w:t>
            </w:r>
            <w:r>
              <w:rPr>
                <w:rFonts w:ascii="宋体" w:hAnsi="宋体" w:cs="宋体"/>
                <w:b/>
                <w:bCs/>
                <w:kern w:val="0"/>
                <w:u w:val="single"/>
              </w:rPr>
              <w:t>f</w:t>
            </w:r>
            <w:r>
              <w:rPr>
                <w:rFonts w:hint="eastAsia" w:ascii="宋体" w:hAnsi="宋体" w:cs="宋体"/>
                <w:b/>
                <w:bCs/>
                <w:kern w:val="0"/>
                <w:u w:val="single"/>
              </w:rPr>
              <w:t>）</w:t>
            </w:r>
          </w:p>
        </w:tc>
      </w:tr>
      <w:tr>
        <w:trPr>
          <w:jc w:val="center"/>
        </w:trPr>
        <w:tc>
          <w:tcPr>
            <w:tcW w:w="1551" w:type="dxa"/>
            <w:vAlign w:val="center"/>
          </w:tcPr>
          <w:p>
            <w:pPr>
              <w:jc w:val="center"/>
              <w:rPr>
                <w:rFonts w:ascii="宋体" w:cs="Times New Roman"/>
              </w:rPr>
            </w:pPr>
            <w:r>
              <w:rPr>
                <w:rFonts w:hint="eastAsia" w:ascii="宋体" w:hAnsi="宋体" w:cs="宋体"/>
              </w:rPr>
              <w:t>产</w:t>
            </w:r>
            <w:r>
              <w:rPr>
                <w:rFonts w:ascii="宋体" w:hAnsi="宋体" w:cs="宋体"/>
              </w:rPr>
              <w:t xml:space="preserve">  </w:t>
            </w:r>
            <w:r>
              <w:rPr>
                <w:rFonts w:hint="eastAsia" w:ascii="宋体" w:hAnsi="宋体" w:cs="宋体"/>
              </w:rPr>
              <w:t>量</w:t>
            </w:r>
          </w:p>
        </w:tc>
        <w:tc>
          <w:tcPr>
            <w:tcW w:w="1549" w:type="dxa"/>
            <w:vAlign w:val="center"/>
          </w:tcPr>
          <w:p>
            <w:pPr>
              <w:jc w:val="center"/>
              <w:rPr>
                <w:rFonts w:ascii="Times New Roman" w:hAnsi="Times New Roman" w:cs="Times New Roman"/>
              </w:rPr>
            </w:pPr>
            <w:r>
              <w:rPr>
                <w:rFonts w:ascii="Times New Roman" w:hAnsi="Times New Roman" w:cs="Times New Roman"/>
              </w:rPr>
              <w:t>4637</w:t>
            </w:r>
          </w:p>
        </w:tc>
        <w:tc>
          <w:tcPr>
            <w:tcW w:w="1547" w:type="dxa"/>
            <w:vAlign w:val="center"/>
          </w:tcPr>
          <w:p>
            <w:pPr>
              <w:jc w:val="center"/>
              <w:rPr>
                <w:rFonts w:ascii="Times New Roman" w:hAnsi="Times New Roman" w:cs="Times New Roman"/>
              </w:rPr>
            </w:pPr>
            <w:r>
              <w:rPr>
                <w:rFonts w:ascii="Times New Roman" w:hAnsi="Times New Roman" w:cs="Times New Roman"/>
              </w:rPr>
              <w:t>4619</w:t>
            </w:r>
          </w:p>
        </w:tc>
        <w:tc>
          <w:tcPr>
            <w:tcW w:w="1547" w:type="dxa"/>
            <w:vAlign w:val="center"/>
          </w:tcPr>
          <w:p>
            <w:pPr>
              <w:jc w:val="center"/>
              <w:rPr>
                <w:rFonts w:ascii="Times New Roman" w:hAnsi="Times New Roman" w:cs="Times New Roman"/>
              </w:rPr>
            </w:pPr>
            <w:r>
              <w:rPr>
                <w:rFonts w:ascii="Times New Roman" w:hAnsi="Times New Roman" w:cs="Times New Roman"/>
              </w:rPr>
              <w:t>4556</w:t>
            </w:r>
          </w:p>
        </w:tc>
        <w:tc>
          <w:tcPr>
            <w:tcW w:w="1547" w:type="dxa"/>
            <w:vAlign w:val="center"/>
          </w:tcPr>
          <w:p>
            <w:pPr>
              <w:jc w:val="center"/>
              <w:rPr>
                <w:rFonts w:ascii="Times New Roman" w:hAnsi="Times New Roman" w:cs="Times New Roman"/>
              </w:rPr>
            </w:pPr>
            <w:r>
              <w:rPr>
                <w:rFonts w:ascii="Times New Roman" w:hAnsi="Times New Roman" w:cs="Times New Roman"/>
              </w:rPr>
              <w:t>4509</w:t>
            </w:r>
          </w:p>
        </w:tc>
        <w:tc>
          <w:tcPr>
            <w:tcW w:w="1545" w:type="dxa"/>
            <w:vAlign w:val="center"/>
          </w:tcPr>
          <w:p>
            <w:pPr>
              <w:jc w:val="center"/>
              <w:rPr>
                <w:rFonts w:ascii="Times New Roman" w:hAnsi="Times New Roman" w:cs="Times New Roman"/>
              </w:rPr>
            </w:pPr>
            <w:r>
              <w:rPr>
                <w:rFonts w:ascii="Times New Roman" w:hAnsi="Times New Roman" w:cs="Times New Roman"/>
              </w:rPr>
              <w:t>4533</w:t>
            </w:r>
          </w:p>
        </w:tc>
      </w:tr>
      <w:tr>
        <w:trPr>
          <w:jc w:val="center"/>
        </w:trPr>
        <w:tc>
          <w:tcPr>
            <w:tcW w:w="1551" w:type="dxa"/>
            <w:vAlign w:val="center"/>
          </w:tcPr>
          <w:p>
            <w:pPr>
              <w:jc w:val="center"/>
              <w:rPr>
                <w:rFonts w:ascii="宋体" w:cs="Times New Roman"/>
              </w:rPr>
            </w:pPr>
            <w:r>
              <w:rPr>
                <w:rFonts w:hint="eastAsia" w:ascii="宋体" w:hAnsi="宋体" w:cs="宋体"/>
              </w:rPr>
              <w:t>需求量</w:t>
            </w:r>
          </w:p>
        </w:tc>
        <w:tc>
          <w:tcPr>
            <w:tcW w:w="1549" w:type="dxa"/>
            <w:vAlign w:val="center"/>
          </w:tcPr>
          <w:p>
            <w:pPr>
              <w:jc w:val="center"/>
              <w:rPr>
                <w:rFonts w:ascii="Times New Roman" w:hAnsi="Times New Roman" w:cs="Times New Roman"/>
              </w:rPr>
            </w:pPr>
            <w:r>
              <w:rPr>
                <w:rFonts w:ascii="Times New Roman" w:hAnsi="Times New Roman" w:cs="Times New Roman"/>
              </w:rPr>
              <w:t>4,927</w:t>
            </w:r>
          </w:p>
        </w:tc>
        <w:tc>
          <w:tcPr>
            <w:tcW w:w="1547" w:type="dxa"/>
            <w:vAlign w:val="center"/>
          </w:tcPr>
          <w:p>
            <w:pPr>
              <w:jc w:val="center"/>
              <w:rPr>
                <w:rFonts w:ascii="Times New Roman" w:hAnsi="Times New Roman" w:cs="Times New Roman"/>
              </w:rPr>
            </w:pPr>
            <w:r>
              <w:rPr>
                <w:rFonts w:ascii="Times New Roman" w:hAnsi="Times New Roman" w:cs="Times New Roman"/>
              </w:rPr>
              <w:t>4,888</w:t>
            </w:r>
          </w:p>
        </w:tc>
        <w:tc>
          <w:tcPr>
            <w:tcW w:w="1547" w:type="dxa"/>
            <w:vAlign w:val="center"/>
          </w:tcPr>
          <w:p>
            <w:pPr>
              <w:jc w:val="center"/>
              <w:rPr>
                <w:rFonts w:ascii="Times New Roman" w:hAnsi="Times New Roman" w:cs="Times New Roman"/>
              </w:rPr>
            </w:pPr>
            <w:r>
              <w:rPr>
                <w:rFonts w:ascii="Times New Roman" w:hAnsi="Times New Roman" w:cs="Times New Roman"/>
              </w:rPr>
              <w:t>4,844</w:t>
            </w:r>
          </w:p>
        </w:tc>
        <w:tc>
          <w:tcPr>
            <w:tcW w:w="1547" w:type="dxa"/>
            <w:vAlign w:val="center"/>
          </w:tcPr>
          <w:p>
            <w:pPr>
              <w:jc w:val="center"/>
              <w:rPr>
                <w:rFonts w:ascii="Times New Roman" w:hAnsi="Times New Roman" w:cs="Times New Roman"/>
              </w:rPr>
            </w:pPr>
            <w:r>
              <w:rPr>
                <w:rFonts w:ascii="Times New Roman" w:hAnsi="Times New Roman" w:cs="Times New Roman"/>
              </w:rPr>
              <w:t>4,890</w:t>
            </w:r>
          </w:p>
        </w:tc>
        <w:tc>
          <w:tcPr>
            <w:tcW w:w="1545" w:type="dxa"/>
            <w:vAlign w:val="center"/>
          </w:tcPr>
          <w:p>
            <w:pPr>
              <w:jc w:val="center"/>
              <w:rPr>
                <w:rFonts w:ascii="Times New Roman" w:hAnsi="Times New Roman" w:cs="Times New Roman"/>
              </w:rPr>
            </w:pPr>
            <w:r>
              <w:rPr>
                <w:rFonts w:ascii="Times New Roman" w:hAnsi="Times New Roman" w:cs="Times New Roman"/>
              </w:rPr>
              <w:t>4800</w:t>
            </w:r>
          </w:p>
        </w:tc>
      </w:tr>
      <w:tr>
        <w:trPr>
          <w:jc w:val="center"/>
        </w:trPr>
        <w:tc>
          <w:tcPr>
            <w:tcW w:w="1551" w:type="dxa"/>
            <w:vAlign w:val="center"/>
          </w:tcPr>
          <w:p>
            <w:pPr>
              <w:jc w:val="center"/>
              <w:rPr>
                <w:rFonts w:ascii="宋体" w:cs="Times New Roman"/>
              </w:rPr>
            </w:pPr>
            <w:r>
              <w:rPr>
                <w:rFonts w:hint="eastAsia" w:ascii="宋体" w:hAnsi="宋体" w:cs="宋体"/>
              </w:rPr>
              <w:t>平</w:t>
            </w:r>
            <w:r>
              <w:rPr>
                <w:rFonts w:ascii="宋体" w:hAnsi="宋体" w:cs="宋体"/>
              </w:rPr>
              <w:t xml:space="preserve">  </w:t>
            </w:r>
            <w:r>
              <w:rPr>
                <w:rFonts w:hint="eastAsia" w:ascii="宋体" w:hAnsi="宋体" w:cs="宋体"/>
              </w:rPr>
              <w:t>衡</w:t>
            </w:r>
          </w:p>
        </w:tc>
        <w:tc>
          <w:tcPr>
            <w:tcW w:w="1549" w:type="dxa"/>
            <w:vAlign w:val="center"/>
          </w:tcPr>
          <w:p>
            <w:pPr>
              <w:jc w:val="center"/>
              <w:rPr>
                <w:rFonts w:ascii="Times New Roman" w:hAnsi="Times New Roman" w:cs="Times New Roman"/>
              </w:rPr>
            </w:pPr>
            <w:r>
              <w:rPr>
                <w:rFonts w:ascii="Times New Roman" w:hAnsi="Times New Roman" w:cs="Times New Roman"/>
              </w:rPr>
              <w:t>-290</w:t>
            </w:r>
          </w:p>
        </w:tc>
        <w:tc>
          <w:tcPr>
            <w:tcW w:w="1547" w:type="dxa"/>
            <w:vAlign w:val="center"/>
          </w:tcPr>
          <w:p>
            <w:pPr>
              <w:jc w:val="center"/>
              <w:rPr>
                <w:rFonts w:ascii="Times New Roman" w:hAnsi="Times New Roman" w:cs="Times New Roman"/>
              </w:rPr>
            </w:pPr>
            <w:r>
              <w:rPr>
                <w:rFonts w:ascii="Times New Roman" w:hAnsi="Times New Roman" w:cs="Times New Roman"/>
              </w:rPr>
              <w:t>-269</w:t>
            </w:r>
          </w:p>
        </w:tc>
        <w:tc>
          <w:tcPr>
            <w:tcW w:w="1547" w:type="dxa"/>
            <w:vAlign w:val="center"/>
          </w:tcPr>
          <w:p>
            <w:pPr>
              <w:jc w:val="center"/>
              <w:rPr>
                <w:rFonts w:ascii="Times New Roman" w:hAnsi="Times New Roman" w:cs="Times New Roman"/>
              </w:rPr>
            </w:pPr>
            <w:r>
              <w:rPr>
                <w:rFonts w:ascii="Times New Roman" w:hAnsi="Times New Roman" w:cs="Times New Roman"/>
              </w:rPr>
              <w:t>-288</w:t>
            </w:r>
          </w:p>
        </w:tc>
        <w:tc>
          <w:tcPr>
            <w:tcW w:w="1547" w:type="dxa"/>
            <w:vAlign w:val="center"/>
          </w:tcPr>
          <w:p>
            <w:pPr>
              <w:jc w:val="center"/>
              <w:rPr>
                <w:rFonts w:ascii="Times New Roman" w:hAnsi="Times New Roman" w:cs="Times New Roman"/>
              </w:rPr>
            </w:pPr>
            <w:r>
              <w:rPr>
                <w:rFonts w:ascii="Times New Roman" w:hAnsi="Times New Roman" w:cs="Times New Roman"/>
              </w:rPr>
              <w:t>-381</w:t>
            </w:r>
          </w:p>
        </w:tc>
        <w:tc>
          <w:tcPr>
            <w:tcW w:w="1545" w:type="dxa"/>
            <w:vAlign w:val="center"/>
          </w:tcPr>
          <w:p>
            <w:pPr>
              <w:jc w:val="center"/>
              <w:rPr>
                <w:rFonts w:ascii="Times New Roman" w:hAnsi="Times New Roman" w:cs="Times New Roman"/>
              </w:rPr>
            </w:pPr>
            <w:r>
              <w:rPr>
                <w:rFonts w:ascii="Times New Roman" w:hAnsi="Times New Roman" w:cs="Times New Roman"/>
              </w:rPr>
              <w:t>-267</w:t>
            </w:r>
          </w:p>
        </w:tc>
      </w:tr>
    </w:tbl>
    <w:p>
      <w:pPr>
        <w:spacing w:afterLines="50"/>
        <w:ind w:firstLine="31680" w:firstLineChars="135"/>
        <w:rPr>
          <w:rFonts w:ascii="楷体" w:hAnsi="楷体" w:eastAsia="楷体" w:cs="Times New Roman"/>
        </w:rPr>
      </w:pPr>
      <w:r>
        <w:rPr>
          <w:rFonts w:hint="eastAsia" w:ascii="楷体" w:hAnsi="楷体" w:eastAsia="楷体" w:cs="楷体"/>
        </w:rPr>
        <w:t>资料来源：世界黄金协会（</w:t>
      </w:r>
      <w:r>
        <w:rPr>
          <w:rFonts w:ascii="楷体" w:hAnsi="楷体" w:eastAsia="楷体" w:cs="楷体"/>
        </w:rPr>
        <w:t>WGC</w:t>
      </w:r>
      <w:r>
        <w:rPr>
          <w:rFonts w:hint="eastAsia" w:ascii="楷体" w:hAnsi="楷体" w:eastAsia="楷体" w:cs="楷体"/>
        </w:rPr>
        <w:t>）、英国金属聚焦公司（</w:t>
      </w:r>
      <w:r>
        <w:rPr>
          <w:rFonts w:ascii="楷体" w:hAnsi="楷体" w:eastAsia="楷体" w:cs="楷体"/>
        </w:rPr>
        <w:t>IMF</w:t>
      </w:r>
      <w:r>
        <w:rPr>
          <w:rFonts w:hint="eastAsia" w:ascii="楷体" w:hAnsi="楷体" w:eastAsia="楷体" w:cs="楷体"/>
        </w:rPr>
        <w:t>）、英国黄金矿业服务公司（</w:t>
      </w:r>
      <w:r>
        <w:rPr>
          <w:rFonts w:ascii="楷体" w:hAnsi="楷体" w:eastAsia="楷体" w:cs="楷体"/>
        </w:rPr>
        <w:t>GFMS</w:t>
      </w:r>
      <w:r>
        <w:rPr>
          <w:rFonts w:hint="eastAsia" w:ascii="楷体" w:hAnsi="楷体" w:eastAsia="楷体" w:cs="楷体"/>
        </w:rPr>
        <w:t>），</w:t>
      </w:r>
      <w:r>
        <w:rPr>
          <w:rFonts w:ascii="楷体" w:hAnsi="楷体" w:eastAsia="楷体" w:cs="楷体"/>
        </w:rPr>
        <w:t>f-</w:t>
      </w:r>
      <w:r>
        <w:rPr>
          <w:rFonts w:hint="eastAsia" w:ascii="楷体" w:hAnsi="楷体" w:eastAsia="楷体" w:cs="楷体"/>
        </w:rPr>
        <w:t>安泰科（</w:t>
      </w:r>
      <w:r>
        <w:rPr>
          <w:rFonts w:ascii="楷体" w:hAnsi="楷体" w:eastAsia="楷体" w:cs="楷体"/>
        </w:rPr>
        <w:t>Antaike</w:t>
      </w:r>
      <w:r>
        <w:rPr>
          <w:rFonts w:hint="eastAsia" w:ascii="楷体" w:hAnsi="楷体" w:eastAsia="楷体" w:cs="楷体"/>
        </w:rPr>
        <w:t>）</w:t>
      </w:r>
    </w:p>
    <w:p>
      <w:pPr>
        <w:spacing w:line="520" w:lineRule="exact"/>
        <w:jc w:val="center"/>
        <w:rPr>
          <w:rFonts w:ascii="黑体" w:hAnsi="黑体" w:eastAsia="黑体" w:cs="Times New Roman"/>
        </w:rPr>
      </w:pPr>
    </w:p>
    <w:p>
      <w:pPr>
        <w:spacing w:line="520" w:lineRule="exact"/>
        <w:jc w:val="center"/>
        <w:rPr>
          <w:rFonts w:ascii="黑体" w:hAnsi="黑体" w:eastAsia="黑体" w:cs="Times New Roman"/>
        </w:rPr>
      </w:pPr>
    </w:p>
    <w:p>
      <w:pPr>
        <w:spacing w:line="520" w:lineRule="exact"/>
        <w:jc w:val="center"/>
        <w:rPr>
          <w:rFonts w:ascii="黑体" w:hAnsi="黑体" w:eastAsia="黑体" w:cs="Times New Roman"/>
        </w:rPr>
      </w:pPr>
    </w:p>
    <w:p>
      <w:pPr>
        <w:spacing w:line="520" w:lineRule="exact"/>
        <w:jc w:val="center"/>
        <w:rPr>
          <w:rFonts w:ascii="黑体" w:hAnsi="黑体" w:eastAsia="黑体" w:cs="Times New Roman"/>
        </w:rPr>
      </w:pPr>
      <w:r>
        <w:rPr>
          <w:rFonts w:hint="eastAsia" w:ascii="黑体" w:hAnsi="黑体" w:eastAsia="黑体" w:cs="黑体"/>
        </w:rPr>
        <w:t>表</w:t>
      </w:r>
      <w:r>
        <w:rPr>
          <w:rFonts w:ascii="黑体" w:hAnsi="黑体" w:eastAsia="黑体" w:cs="黑体"/>
        </w:rPr>
        <w:t>2-6  2016-2025</w:t>
      </w:r>
      <w:r>
        <w:rPr>
          <w:rFonts w:hint="eastAsia" w:ascii="黑体" w:hAnsi="黑体" w:eastAsia="黑体" w:cs="黑体"/>
        </w:rPr>
        <w:t>年中国黄金市场供求平衡及预测</w:t>
      </w:r>
      <w:r>
        <w:rPr>
          <w:rFonts w:ascii="黑体" w:hAnsi="黑体" w:eastAsia="黑体" w:cs="黑体"/>
        </w:rPr>
        <w:t xml:space="preserve">    </w:t>
      </w:r>
      <w:r>
        <w:rPr>
          <w:rFonts w:hint="eastAsia" w:ascii="黑体" w:hAnsi="黑体" w:eastAsia="黑体" w:cs="黑体"/>
        </w:rPr>
        <w:t>（单位：吨黄金）</w:t>
      </w:r>
    </w:p>
    <w:tbl>
      <w:tblPr>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
      <w:tblGrid>
        <w:gridCol w:w="1551"/>
        <w:gridCol w:w="1549"/>
        <w:gridCol w:w="1547"/>
        <w:gridCol w:w="1547"/>
        <w:gridCol w:w="1547"/>
        <w:gridCol w:w="1545"/>
      </w:tblGrid>
      <w:tr>
        <w:trPr>
          <w:jc w:val="center"/>
        </w:trPr>
        <w:tc>
          <w:tcPr>
            <w:tcW w:w="1551" w:type="dxa"/>
            <w:shd w:val="clear" w:color="auto" w:fill="D9D9D9"/>
            <w:vAlign w:val="center"/>
          </w:tcPr>
          <w:p>
            <w:pPr>
              <w:jc w:val="center"/>
              <w:rPr>
                <w:rFonts w:ascii="Times New Roman" w:hAnsi="Times New Roman" w:cs="Times New Roman"/>
                <w:u w:val="single"/>
              </w:rPr>
            </w:pPr>
          </w:p>
        </w:tc>
        <w:tc>
          <w:tcPr>
            <w:tcW w:w="1549" w:type="dxa"/>
            <w:shd w:val="clear" w:color="auto" w:fill="D9D9D9"/>
            <w:vAlign w:val="center"/>
          </w:tcPr>
          <w:p>
            <w:pPr>
              <w:jc w:val="center"/>
              <w:rPr>
                <w:rFonts w:ascii="Times New Roman" w:hAnsi="Times New Roman" w:cs="Times New Roman"/>
                <w:b/>
                <w:bCs/>
                <w:u w:val="single"/>
              </w:rPr>
            </w:pPr>
            <w:r>
              <w:rPr>
                <w:rFonts w:ascii="Times New Roman" w:hAnsi="Times New Roman" w:cs="Times New Roman"/>
                <w:b/>
                <w:bCs/>
                <w:u w:val="single"/>
              </w:rPr>
              <w:t>2016</w:t>
            </w:r>
          </w:p>
        </w:tc>
        <w:tc>
          <w:tcPr>
            <w:tcW w:w="1547" w:type="dxa"/>
            <w:shd w:val="clear" w:color="auto" w:fill="D9D9D9"/>
            <w:vAlign w:val="center"/>
          </w:tcPr>
          <w:p>
            <w:pPr>
              <w:jc w:val="center"/>
              <w:rPr>
                <w:rFonts w:ascii="Times New Roman" w:hAnsi="Times New Roman" w:cs="Times New Roman"/>
                <w:b/>
                <w:bCs/>
                <w:u w:val="single"/>
              </w:rPr>
            </w:pPr>
            <w:r>
              <w:rPr>
                <w:rFonts w:ascii="Times New Roman" w:hAnsi="Times New Roman" w:cs="Times New Roman"/>
                <w:b/>
                <w:bCs/>
                <w:u w:val="single"/>
              </w:rPr>
              <w:t>2017</w:t>
            </w:r>
          </w:p>
        </w:tc>
        <w:tc>
          <w:tcPr>
            <w:tcW w:w="1547" w:type="dxa"/>
            <w:shd w:val="clear" w:color="auto" w:fill="D9D9D9"/>
            <w:vAlign w:val="center"/>
          </w:tcPr>
          <w:p>
            <w:pPr>
              <w:jc w:val="center"/>
              <w:rPr>
                <w:rFonts w:ascii="Times New Roman" w:hAnsi="Times New Roman" w:cs="Times New Roman"/>
                <w:b/>
                <w:bCs/>
                <w:u w:val="single"/>
              </w:rPr>
            </w:pPr>
            <w:r>
              <w:rPr>
                <w:rFonts w:ascii="Times New Roman" w:hAnsi="Times New Roman" w:cs="Times New Roman"/>
                <w:b/>
                <w:bCs/>
                <w:u w:val="single"/>
              </w:rPr>
              <w:t>2018</w:t>
            </w:r>
          </w:p>
        </w:tc>
        <w:tc>
          <w:tcPr>
            <w:tcW w:w="1547" w:type="dxa"/>
            <w:shd w:val="clear" w:color="auto" w:fill="D9D9D9"/>
            <w:vAlign w:val="center"/>
          </w:tcPr>
          <w:p>
            <w:pPr>
              <w:jc w:val="center"/>
              <w:rPr>
                <w:rFonts w:ascii="Times New Roman" w:hAnsi="Times New Roman" w:cs="Times New Roman"/>
                <w:b/>
                <w:bCs/>
                <w:u w:val="single"/>
              </w:rPr>
            </w:pPr>
            <w:r>
              <w:rPr>
                <w:rFonts w:ascii="Times New Roman" w:hAnsi="Times New Roman" w:cs="Times New Roman"/>
                <w:b/>
                <w:bCs/>
                <w:u w:val="single"/>
              </w:rPr>
              <w:t>2019</w:t>
            </w:r>
          </w:p>
        </w:tc>
        <w:tc>
          <w:tcPr>
            <w:tcW w:w="1545" w:type="dxa"/>
            <w:shd w:val="clear" w:color="auto" w:fill="D9D9D9"/>
            <w:vAlign w:val="center"/>
          </w:tcPr>
          <w:p>
            <w:pPr>
              <w:widowControl/>
              <w:jc w:val="center"/>
              <w:rPr>
                <w:rFonts w:ascii="Times New Roman" w:hAnsi="Times New Roman" w:cs="Times New Roman"/>
                <w:b/>
                <w:bCs/>
                <w:kern w:val="0"/>
                <w:u w:val="single"/>
              </w:rPr>
            </w:pPr>
            <w:r>
              <w:rPr>
                <w:rFonts w:ascii="Times New Roman" w:hAnsi="Times New Roman" w:cs="Times New Roman"/>
                <w:b/>
                <w:bCs/>
                <w:kern w:val="0"/>
                <w:u w:val="single"/>
              </w:rPr>
              <w:t>2020</w:t>
            </w:r>
          </w:p>
        </w:tc>
      </w:tr>
      <w:tr>
        <w:trPr>
          <w:jc w:val="center"/>
        </w:trPr>
        <w:tc>
          <w:tcPr>
            <w:tcW w:w="1551" w:type="dxa"/>
            <w:vAlign w:val="center"/>
          </w:tcPr>
          <w:p>
            <w:pPr>
              <w:jc w:val="center"/>
              <w:rPr>
                <w:rFonts w:ascii="Times New Roman" w:hAnsi="Times New Roman" w:cs="Times New Roman"/>
              </w:rPr>
            </w:pPr>
            <w:r>
              <w:rPr>
                <w:rFonts w:hint="eastAsia" w:ascii="Times New Roman" w:hAnsi="Times New Roman" w:cs="宋体"/>
              </w:rPr>
              <w:t>产</w:t>
            </w:r>
            <w:r>
              <w:rPr>
                <w:rFonts w:ascii="Times New Roman" w:hAnsi="Times New Roman" w:cs="Times New Roman"/>
              </w:rPr>
              <w:t xml:space="preserve">  </w:t>
            </w:r>
            <w:r>
              <w:rPr>
                <w:rFonts w:hint="eastAsia" w:ascii="Times New Roman" w:hAnsi="Times New Roman" w:cs="宋体"/>
              </w:rPr>
              <w:t>量</w:t>
            </w:r>
            <w:r>
              <w:rPr>
                <w:rFonts w:ascii="Times New Roman" w:hAnsi="Times New Roman" w:cs="Times New Roman"/>
              </w:rPr>
              <w:t>*</w:t>
            </w:r>
          </w:p>
        </w:tc>
        <w:tc>
          <w:tcPr>
            <w:tcW w:w="1549" w:type="dxa"/>
            <w:vAlign w:val="bottom"/>
          </w:tcPr>
          <w:p>
            <w:pPr>
              <w:jc w:val="center"/>
              <w:rPr>
                <w:rFonts w:ascii="Times New Roman" w:hAnsi="Times New Roman" w:cs="Times New Roman"/>
              </w:rPr>
            </w:pPr>
            <w:r>
              <w:rPr>
                <w:rFonts w:ascii="Times New Roman" w:hAnsi="Times New Roman" w:cs="Times New Roman"/>
              </w:rPr>
              <w:t>535.45</w:t>
            </w:r>
          </w:p>
        </w:tc>
        <w:tc>
          <w:tcPr>
            <w:tcW w:w="1547" w:type="dxa"/>
            <w:vAlign w:val="bottom"/>
          </w:tcPr>
          <w:p>
            <w:pPr>
              <w:jc w:val="center"/>
              <w:rPr>
                <w:rFonts w:ascii="Times New Roman" w:hAnsi="Times New Roman" w:cs="Times New Roman"/>
              </w:rPr>
            </w:pPr>
            <w:r>
              <w:rPr>
                <w:rFonts w:ascii="Times New Roman" w:hAnsi="Times New Roman" w:cs="Times New Roman"/>
              </w:rPr>
              <w:t>517.49</w:t>
            </w:r>
          </w:p>
        </w:tc>
        <w:tc>
          <w:tcPr>
            <w:tcW w:w="1547" w:type="dxa"/>
            <w:vAlign w:val="bottom"/>
          </w:tcPr>
          <w:p>
            <w:pPr>
              <w:jc w:val="center"/>
              <w:rPr>
                <w:rFonts w:ascii="Times New Roman" w:hAnsi="Times New Roman" w:cs="Times New Roman"/>
              </w:rPr>
            </w:pPr>
            <w:r>
              <w:rPr>
                <w:rFonts w:ascii="Times New Roman" w:hAnsi="Times New Roman" w:cs="Times New Roman"/>
              </w:rPr>
              <w:t>513.90</w:t>
            </w:r>
          </w:p>
        </w:tc>
        <w:tc>
          <w:tcPr>
            <w:tcW w:w="1547" w:type="dxa"/>
            <w:vAlign w:val="bottom"/>
          </w:tcPr>
          <w:p>
            <w:pPr>
              <w:jc w:val="center"/>
              <w:rPr>
                <w:rFonts w:ascii="Times New Roman" w:hAnsi="Times New Roman" w:cs="Times New Roman"/>
              </w:rPr>
            </w:pPr>
            <w:r>
              <w:rPr>
                <w:rFonts w:ascii="Times New Roman" w:hAnsi="Times New Roman" w:cs="Times New Roman"/>
              </w:rPr>
              <w:t>500.42</w:t>
            </w:r>
          </w:p>
        </w:tc>
        <w:tc>
          <w:tcPr>
            <w:tcW w:w="1545" w:type="dxa"/>
            <w:vAlign w:val="center"/>
          </w:tcPr>
          <w:p>
            <w:pPr>
              <w:jc w:val="center"/>
              <w:rPr>
                <w:rFonts w:ascii="Times New Roman" w:hAnsi="Times New Roman" w:cs="Times New Roman"/>
              </w:rPr>
            </w:pPr>
            <w:r>
              <w:rPr>
                <w:rFonts w:ascii="Times New Roman" w:hAnsi="Times New Roman" w:cs="Times New Roman"/>
              </w:rPr>
              <w:t>480</w:t>
            </w:r>
          </w:p>
        </w:tc>
      </w:tr>
      <w:tr>
        <w:trPr>
          <w:jc w:val="center"/>
        </w:trPr>
        <w:tc>
          <w:tcPr>
            <w:tcW w:w="1551" w:type="dxa"/>
            <w:vAlign w:val="center"/>
          </w:tcPr>
          <w:p>
            <w:pPr>
              <w:jc w:val="center"/>
              <w:rPr>
                <w:rFonts w:ascii="Times New Roman" w:hAnsi="Times New Roman" w:cs="Times New Roman"/>
              </w:rPr>
            </w:pPr>
            <w:r>
              <w:rPr>
                <w:rFonts w:hint="eastAsia" w:ascii="Times New Roman" w:hAnsi="Times New Roman" w:cs="宋体"/>
              </w:rPr>
              <w:t>需求量</w:t>
            </w:r>
            <w:r>
              <w:rPr>
                <w:rFonts w:ascii="Times New Roman" w:hAnsi="Times New Roman" w:eastAsia="华文仿宋" w:cs="Times New Roman"/>
                <w:sz w:val="18"/>
                <w:szCs w:val="18"/>
              </w:rPr>
              <w:t>#</w:t>
            </w:r>
          </w:p>
        </w:tc>
        <w:tc>
          <w:tcPr>
            <w:tcW w:w="1549" w:type="dxa"/>
            <w:vAlign w:val="bottom"/>
          </w:tcPr>
          <w:p>
            <w:pPr>
              <w:jc w:val="center"/>
              <w:rPr>
                <w:rFonts w:ascii="Times New Roman" w:hAnsi="Times New Roman" w:cs="Times New Roman"/>
              </w:rPr>
            </w:pPr>
            <w:r>
              <w:rPr>
                <w:rFonts w:ascii="Times New Roman" w:hAnsi="Times New Roman" w:cs="Times New Roman"/>
              </w:rPr>
              <w:t>975.38</w:t>
            </w:r>
          </w:p>
        </w:tc>
        <w:tc>
          <w:tcPr>
            <w:tcW w:w="1547" w:type="dxa"/>
            <w:vAlign w:val="bottom"/>
          </w:tcPr>
          <w:p>
            <w:pPr>
              <w:jc w:val="center"/>
              <w:rPr>
                <w:rFonts w:ascii="Times New Roman" w:hAnsi="Times New Roman" w:cs="Times New Roman"/>
              </w:rPr>
            </w:pPr>
            <w:r>
              <w:rPr>
                <w:rFonts w:ascii="Times New Roman" w:hAnsi="Times New Roman" w:cs="Times New Roman"/>
              </w:rPr>
              <w:t>1089.07</w:t>
            </w:r>
          </w:p>
        </w:tc>
        <w:tc>
          <w:tcPr>
            <w:tcW w:w="1547" w:type="dxa"/>
            <w:vAlign w:val="bottom"/>
          </w:tcPr>
          <w:p>
            <w:pPr>
              <w:jc w:val="center"/>
              <w:rPr>
                <w:rFonts w:ascii="Times New Roman" w:hAnsi="Times New Roman" w:cs="Times New Roman"/>
              </w:rPr>
            </w:pPr>
            <w:r>
              <w:rPr>
                <w:rFonts w:ascii="Times New Roman" w:hAnsi="Times New Roman" w:cs="Times New Roman"/>
              </w:rPr>
              <w:t>1151.43</w:t>
            </w:r>
          </w:p>
        </w:tc>
        <w:tc>
          <w:tcPr>
            <w:tcW w:w="1547" w:type="dxa"/>
            <w:vAlign w:val="bottom"/>
          </w:tcPr>
          <w:p>
            <w:pPr>
              <w:jc w:val="center"/>
              <w:rPr>
                <w:rFonts w:ascii="Times New Roman" w:hAnsi="Times New Roman" w:cs="Times New Roman"/>
              </w:rPr>
            </w:pPr>
            <w:r>
              <w:rPr>
                <w:rFonts w:ascii="Times New Roman" w:hAnsi="Times New Roman" w:cs="Times New Roman"/>
              </w:rPr>
              <w:t>1002.78</w:t>
            </w:r>
          </w:p>
        </w:tc>
        <w:tc>
          <w:tcPr>
            <w:tcW w:w="1545" w:type="dxa"/>
            <w:vAlign w:val="center"/>
          </w:tcPr>
          <w:p>
            <w:pPr>
              <w:jc w:val="center"/>
              <w:rPr>
                <w:rFonts w:ascii="Times New Roman" w:hAnsi="Times New Roman" w:cs="Times New Roman"/>
              </w:rPr>
            </w:pPr>
            <w:r>
              <w:rPr>
                <w:rFonts w:ascii="Times New Roman" w:hAnsi="Times New Roman" w:cs="Times New Roman"/>
              </w:rPr>
              <w:t>821</w:t>
            </w:r>
          </w:p>
        </w:tc>
      </w:tr>
      <w:tr>
        <w:trPr>
          <w:jc w:val="center"/>
        </w:trPr>
        <w:tc>
          <w:tcPr>
            <w:tcW w:w="1551" w:type="dxa"/>
            <w:vAlign w:val="center"/>
          </w:tcPr>
          <w:p>
            <w:pPr>
              <w:jc w:val="center"/>
              <w:rPr>
                <w:rFonts w:ascii="Times New Roman" w:hAnsi="Times New Roman" w:cs="Times New Roman"/>
              </w:rPr>
            </w:pPr>
            <w:r>
              <w:rPr>
                <w:rFonts w:hint="eastAsia" w:ascii="Times New Roman" w:hAnsi="Times New Roman" w:cs="宋体"/>
              </w:rPr>
              <w:t>平</w:t>
            </w:r>
            <w:r>
              <w:rPr>
                <w:rFonts w:ascii="Times New Roman" w:hAnsi="Times New Roman" w:cs="Times New Roman"/>
              </w:rPr>
              <w:t xml:space="preserve">  </w:t>
            </w:r>
            <w:r>
              <w:rPr>
                <w:rFonts w:hint="eastAsia" w:ascii="Times New Roman" w:hAnsi="Times New Roman" w:cs="宋体"/>
              </w:rPr>
              <w:t>衡</w:t>
            </w:r>
          </w:p>
        </w:tc>
        <w:tc>
          <w:tcPr>
            <w:tcW w:w="1549" w:type="dxa"/>
            <w:vAlign w:val="center"/>
          </w:tcPr>
          <w:p>
            <w:pPr>
              <w:jc w:val="center"/>
              <w:rPr>
                <w:rFonts w:ascii="Times New Roman" w:hAnsi="Times New Roman" w:cs="Times New Roman"/>
              </w:rPr>
            </w:pPr>
            <w:r>
              <w:rPr>
                <w:rFonts w:ascii="Times New Roman" w:hAnsi="Times New Roman" w:cs="Times New Roman"/>
              </w:rPr>
              <w:t>-439.93</w:t>
            </w:r>
          </w:p>
        </w:tc>
        <w:tc>
          <w:tcPr>
            <w:tcW w:w="1547" w:type="dxa"/>
            <w:vAlign w:val="center"/>
          </w:tcPr>
          <w:p>
            <w:pPr>
              <w:jc w:val="center"/>
              <w:rPr>
                <w:rFonts w:ascii="Times New Roman" w:hAnsi="Times New Roman" w:cs="Times New Roman"/>
              </w:rPr>
            </w:pPr>
            <w:r>
              <w:rPr>
                <w:rFonts w:ascii="Times New Roman" w:hAnsi="Times New Roman" w:cs="Times New Roman"/>
              </w:rPr>
              <w:t>-571.58</w:t>
            </w:r>
          </w:p>
        </w:tc>
        <w:tc>
          <w:tcPr>
            <w:tcW w:w="1547" w:type="dxa"/>
            <w:vAlign w:val="center"/>
          </w:tcPr>
          <w:p>
            <w:pPr>
              <w:jc w:val="center"/>
              <w:rPr>
                <w:rFonts w:ascii="Times New Roman" w:hAnsi="Times New Roman" w:cs="Times New Roman"/>
              </w:rPr>
            </w:pPr>
            <w:r>
              <w:rPr>
                <w:rFonts w:ascii="Times New Roman" w:hAnsi="Times New Roman" w:cs="Times New Roman"/>
              </w:rPr>
              <w:t>-637.53</w:t>
            </w:r>
          </w:p>
        </w:tc>
        <w:tc>
          <w:tcPr>
            <w:tcW w:w="1547" w:type="dxa"/>
            <w:vAlign w:val="center"/>
          </w:tcPr>
          <w:p>
            <w:pPr>
              <w:jc w:val="center"/>
              <w:rPr>
                <w:rFonts w:ascii="Times New Roman" w:hAnsi="Times New Roman" w:cs="Times New Roman"/>
              </w:rPr>
            </w:pPr>
            <w:r>
              <w:rPr>
                <w:rFonts w:ascii="Times New Roman" w:hAnsi="Times New Roman" w:cs="Times New Roman"/>
              </w:rPr>
              <w:t>-502.36</w:t>
            </w:r>
          </w:p>
        </w:tc>
        <w:tc>
          <w:tcPr>
            <w:tcW w:w="1545" w:type="dxa"/>
            <w:vAlign w:val="center"/>
          </w:tcPr>
          <w:p>
            <w:pPr>
              <w:jc w:val="center"/>
              <w:rPr>
                <w:rFonts w:ascii="Times New Roman" w:hAnsi="Times New Roman" w:cs="Times New Roman"/>
              </w:rPr>
            </w:pPr>
            <w:r>
              <w:rPr>
                <w:rFonts w:ascii="Times New Roman" w:hAnsi="Times New Roman" w:cs="Times New Roman"/>
              </w:rPr>
              <w:t>-341</w:t>
            </w:r>
          </w:p>
        </w:tc>
      </w:tr>
      <w:tr>
        <w:trPr>
          <w:jc w:val="center"/>
        </w:trPr>
        <w:tc>
          <w:tcPr>
            <w:tcW w:w="1551" w:type="dxa"/>
            <w:shd w:val="clear" w:color="auto" w:fill="D9D9D9"/>
            <w:vAlign w:val="center"/>
          </w:tcPr>
          <w:p>
            <w:pPr>
              <w:jc w:val="center"/>
              <w:rPr>
                <w:rFonts w:ascii="Times New Roman" w:hAnsi="Times New Roman" w:cs="Times New Roman"/>
                <w:u w:val="single"/>
              </w:rPr>
            </w:pPr>
          </w:p>
        </w:tc>
        <w:tc>
          <w:tcPr>
            <w:tcW w:w="1549" w:type="dxa"/>
            <w:shd w:val="clear" w:color="auto" w:fill="D9D9D9"/>
            <w:vAlign w:val="center"/>
          </w:tcPr>
          <w:p>
            <w:pPr>
              <w:widowControl/>
              <w:jc w:val="center"/>
              <w:rPr>
                <w:rFonts w:ascii="Times New Roman" w:hAnsi="Times New Roman" w:cs="Times New Roman"/>
                <w:b/>
                <w:bCs/>
                <w:kern w:val="0"/>
                <w:u w:val="single"/>
              </w:rPr>
            </w:pPr>
            <w:r>
              <w:rPr>
                <w:rFonts w:ascii="Times New Roman" w:hAnsi="Times New Roman" w:cs="Times New Roman"/>
                <w:b/>
                <w:bCs/>
                <w:kern w:val="0"/>
                <w:u w:val="single"/>
              </w:rPr>
              <w:t>2021</w:t>
            </w:r>
            <w:r>
              <w:rPr>
                <w:rFonts w:hint="eastAsia" w:ascii="Times New Roman" w:hAnsi="Times New Roman" w:cs="宋体"/>
                <w:b/>
                <w:bCs/>
                <w:kern w:val="0"/>
                <w:u w:val="single"/>
              </w:rPr>
              <w:t>（</w:t>
            </w:r>
            <w:r>
              <w:rPr>
                <w:rFonts w:ascii="Times New Roman" w:hAnsi="Times New Roman" w:cs="Times New Roman"/>
                <w:b/>
                <w:bCs/>
                <w:kern w:val="0"/>
                <w:u w:val="single"/>
              </w:rPr>
              <w:t>f</w:t>
            </w:r>
            <w:r>
              <w:rPr>
                <w:rFonts w:hint="eastAsia" w:ascii="Times New Roman" w:hAnsi="Times New Roman" w:cs="宋体"/>
                <w:b/>
                <w:bCs/>
                <w:kern w:val="0"/>
                <w:u w:val="single"/>
              </w:rPr>
              <w:t>）</w:t>
            </w:r>
          </w:p>
        </w:tc>
        <w:tc>
          <w:tcPr>
            <w:tcW w:w="1547" w:type="dxa"/>
            <w:shd w:val="clear" w:color="auto" w:fill="D9D9D9"/>
            <w:vAlign w:val="center"/>
          </w:tcPr>
          <w:p>
            <w:pPr>
              <w:widowControl/>
              <w:jc w:val="center"/>
              <w:rPr>
                <w:rFonts w:ascii="Times New Roman" w:hAnsi="Times New Roman" w:cs="Times New Roman"/>
                <w:b/>
                <w:bCs/>
                <w:kern w:val="0"/>
                <w:u w:val="single"/>
              </w:rPr>
            </w:pPr>
            <w:r>
              <w:rPr>
                <w:rFonts w:ascii="Times New Roman" w:hAnsi="Times New Roman" w:cs="Times New Roman"/>
                <w:b/>
                <w:bCs/>
                <w:kern w:val="0"/>
                <w:u w:val="single"/>
              </w:rPr>
              <w:t>2022</w:t>
            </w:r>
            <w:r>
              <w:rPr>
                <w:rFonts w:hint="eastAsia" w:ascii="Times New Roman" w:hAnsi="Times New Roman" w:cs="宋体"/>
                <w:b/>
                <w:bCs/>
                <w:kern w:val="0"/>
                <w:u w:val="single"/>
              </w:rPr>
              <w:t>（</w:t>
            </w:r>
            <w:r>
              <w:rPr>
                <w:rFonts w:ascii="Times New Roman" w:hAnsi="Times New Roman" w:cs="Times New Roman"/>
                <w:b/>
                <w:bCs/>
                <w:kern w:val="0"/>
                <w:u w:val="single"/>
              </w:rPr>
              <w:t>f</w:t>
            </w:r>
            <w:r>
              <w:rPr>
                <w:rFonts w:hint="eastAsia" w:ascii="Times New Roman" w:hAnsi="Times New Roman" w:cs="宋体"/>
                <w:b/>
                <w:bCs/>
                <w:kern w:val="0"/>
                <w:u w:val="single"/>
              </w:rPr>
              <w:t>）</w:t>
            </w:r>
          </w:p>
        </w:tc>
        <w:tc>
          <w:tcPr>
            <w:tcW w:w="1547" w:type="dxa"/>
            <w:shd w:val="clear" w:color="auto" w:fill="D9D9D9"/>
            <w:vAlign w:val="center"/>
          </w:tcPr>
          <w:p>
            <w:pPr>
              <w:widowControl/>
              <w:jc w:val="center"/>
              <w:rPr>
                <w:rFonts w:ascii="Times New Roman" w:hAnsi="Times New Roman" w:cs="Times New Roman"/>
                <w:b/>
                <w:bCs/>
                <w:kern w:val="0"/>
                <w:u w:val="single"/>
              </w:rPr>
            </w:pPr>
            <w:r>
              <w:rPr>
                <w:rFonts w:ascii="Times New Roman" w:hAnsi="Times New Roman" w:cs="Times New Roman"/>
                <w:b/>
                <w:bCs/>
                <w:kern w:val="0"/>
                <w:u w:val="single"/>
              </w:rPr>
              <w:t>2023</w:t>
            </w:r>
            <w:r>
              <w:rPr>
                <w:rFonts w:hint="eastAsia" w:ascii="Times New Roman" w:hAnsi="Times New Roman" w:cs="宋体"/>
                <w:b/>
                <w:bCs/>
                <w:kern w:val="0"/>
                <w:u w:val="single"/>
              </w:rPr>
              <w:t>（</w:t>
            </w:r>
            <w:r>
              <w:rPr>
                <w:rFonts w:ascii="Times New Roman" w:hAnsi="Times New Roman" w:cs="Times New Roman"/>
                <w:b/>
                <w:bCs/>
                <w:kern w:val="0"/>
                <w:u w:val="single"/>
              </w:rPr>
              <w:t>f</w:t>
            </w:r>
            <w:r>
              <w:rPr>
                <w:rFonts w:hint="eastAsia" w:ascii="Times New Roman" w:hAnsi="Times New Roman" w:cs="宋体"/>
                <w:b/>
                <w:bCs/>
                <w:kern w:val="0"/>
                <w:u w:val="single"/>
              </w:rPr>
              <w:t>）</w:t>
            </w:r>
          </w:p>
        </w:tc>
        <w:tc>
          <w:tcPr>
            <w:tcW w:w="1547" w:type="dxa"/>
            <w:shd w:val="clear" w:color="auto" w:fill="D9D9D9"/>
            <w:vAlign w:val="center"/>
          </w:tcPr>
          <w:p>
            <w:pPr>
              <w:widowControl/>
              <w:jc w:val="center"/>
              <w:rPr>
                <w:rFonts w:ascii="Times New Roman" w:hAnsi="Times New Roman" w:cs="Times New Roman"/>
                <w:b/>
                <w:bCs/>
                <w:kern w:val="0"/>
                <w:u w:val="single"/>
              </w:rPr>
            </w:pPr>
            <w:r>
              <w:rPr>
                <w:rFonts w:ascii="Times New Roman" w:hAnsi="Times New Roman" w:cs="Times New Roman"/>
                <w:b/>
                <w:bCs/>
                <w:kern w:val="0"/>
                <w:u w:val="single"/>
              </w:rPr>
              <w:t>2024</w:t>
            </w:r>
            <w:r>
              <w:rPr>
                <w:rFonts w:hint="eastAsia" w:ascii="Times New Roman" w:hAnsi="Times New Roman" w:cs="宋体"/>
                <w:b/>
                <w:bCs/>
                <w:kern w:val="0"/>
                <w:u w:val="single"/>
              </w:rPr>
              <w:t>（</w:t>
            </w:r>
            <w:r>
              <w:rPr>
                <w:rFonts w:ascii="Times New Roman" w:hAnsi="Times New Roman" w:cs="Times New Roman"/>
                <w:b/>
                <w:bCs/>
                <w:kern w:val="0"/>
                <w:u w:val="single"/>
              </w:rPr>
              <w:t>f</w:t>
            </w:r>
            <w:r>
              <w:rPr>
                <w:rFonts w:hint="eastAsia" w:ascii="Times New Roman" w:hAnsi="Times New Roman" w:cs="宋体"/>
                <w:b/>
                <w:bCs/>
                <w:kern w:val="0"/>
                <w:u w:val="single"/>
              </w:rPr>
              <w:t>）</w:t>
            </w:r>
          </w:p>
        </w:tc>
        <w:tc>
          <w:tcPr>
            <w:tcW w:w="1545" w:type="dxa"/>
            <w:shd w:val="clear" w:color="auto" w:fill="D9D9D9"/>
            <w:vAlign w:val="center"/>
          </w:tcPr>
          <w:p>
            <w:pPr>
              <w:widowControl/>
              <w:jc w:val="center"/>
              <w:rPr>
                <w:rFonts w:ascii="Times New Roman" w:hAnsi="Times New Roman" w:cs="Times New Roman"/>
                <w:b/>
                <w:bCs/>
                <w:kern w:val="0"/>
                <w:u w:val="single"/>
              </w:rPr>
            </w:pPr>
            <w:r>
              <w:rPr>
                <w:rFonts w:ascii="Times New Roman" w:hAnsi="Times New Roman" w:cs="Times New Roman"/>
                <w:b/>
                <w:bCs/>
                <w:kern w:val="0"/>
                <w:u w:val="single"/>
              </w:rPr>
              <w:t>2025</w:t>
            </w:r>
            <w:r>
              <w:rPr>
                <w:rFonts w:hint="eastAsia" w:ascii="Times New Roman" w:hAnsi="Times New Roman" w:cs="宋体"/>
                <w:b/>
                <w:bCs/>
                <w:kern w:val="0"/>
                <w:u w:val="single"/>
              </w:rPr>
              <w:t>（</w:t>
            </w:r>
            <w:r>
              <w:rPr>
                <w:rFonts w:ascii="Times New Roman" w:hAnsi="Times New Roman" w:cs="Times New Roman"/>
                <w:b/>
                <w:bCs/>
                <w:kern w:val="0"/>
                <w:u w:val="single"/>
              </w:rPr>
              <w:t>f</w:t>
            </w:r>
            <w:r>
              <w:rPr>
                <w:rFonts w:hint="eastAsia" w:ascii="Times New Roman" w:hAnsi="Times New Roman" w:cs="宋体"/>
                <w:b/>
                <w:bCs/>
                <w:kern w:val="0"/>
                <w:u w:val="single"/>
              </w:rPr>
              <w:t>）</w:t>
            </w:r>
          </w:p>
        </w:tc>
      </w:tr>
      <w:tr>
        <w:trPr>
          <w:jc w:val="center"/>
        </w:trPr>
        <w:tc>
          <w:tcPr>
            <w:tcW w:w="1551" w:type="dxa"/>
            <w:vAlign w:val="center"/>
          </w:tcPr>
          <w:p>
            <w:pPr>
              <w:jc w:val="center"/>
              <w:rPr>
                <w:rFonts w:ascii="Times New Roman" w:hAnsi="Times New Roman" w:cs="Times New Roman"/>
              </w:rPr>
            </w:pPr>
            <w:r>
              <w:rPr>
                <w:rFonts w:hint="eastAsia" w:ascii="Times New Roman" w:hAnsi="Times New Roman" w:cs="宋体"/>
              </w:rPr>
              <w:t>产</w:t>
            </w:r>
            <w:r>
              <w:rPr>
                <w:rFonts w:ascii="Times New Roman" w:hAnsi="Times New Roman" w:cs="Times New Roman"/>
              </w:rPr>
              <w:t xml:space="preserve">  </w:t>
            </w:r>
            <w:r>
              <w:rPr>
                <w:rFonts w:hint="eastAsia" w:ascii="Times New Roman" w:hAnsi="Times New Roman" w:cs="宋体"/>
              </w:rPr>
              <w:t>量</w:t>
            </w:r>
          </w:p>
        </w:tc>
        <w:tc>
          <w:tcPr>
            <w:tcW w:w="1549" w:type="dxa"/>
            <w:vAlign w:val="center"/>
          </w:tcPr>
          <w:p>
            <w:pPr>
              <w:jc w:val="center"/>
              <w:rPr>
                <w:rFonts w:ascii="Times New Roman" w:hAnsi="Times New Roman" w:cs="Times New Roman"/>
              </w:rPr>
            </w:pPr>
            <w:r>
              <w:rPr>
                <w:rFonts w:ascii="Times New Roman" w:hAnsi="Times New Roman" w:cs="Times New Roman"/>
              </w:rPr>
              <w:t xml:space="preserve">532 </w:t>
            </w:r>
          </w:p>
        </w:tc>
        <w:tc>
          <w:tcPr>
            <w:tcW w:w="1547" w:type="dxa"/>
            <w:vAlign w:val="center"/>
          </w:tcPr>
          <w:p>
            <w:pPr>
              <w:jc w:val="center"/>
              <w:rPr>
                <w:rFonts w:ascii="Times New Roman" w:hAnsi="Times New Roman" w:cs="Times New Roman"/>
              </w:rPr>
            </w:pPr>
            <w:r>
              <w:rPr>
                <w:rFonts w:ascii="Times New Roman" w:hAnsi="Times New Roman" w:cs="Times New Roman"/>
              </w:rPr>
              <w:t>551</w:t>
            </w:r>
          </w:p>
        </w:tc>
        <w:tc>
          <w:tcPr>
            <w:tcW w:w="1547" w:type="dxa"/>
            <w:vAlign w:val="center"/>
          </w:tcPr>
          <w:p>
            <w:pPr>
              <w:jc w:val="center"/>
              <w:rPr>
                <w:rFonts w:ascii="Times New Roman" w:hAnsi="Times New Roman" w:cs="Times New Roman"/>
              </w:rPr>
            </w:pPr>
            <w:r>
              <w:rPr>
                <w:rFonts w:ascii="Times New Roman" w:hAnsi="Times New Roman" w:cs="Times New Roman"/>
              </w:rPr>
              <w:t>571</w:t>
            </w:r>
          </w:p>
        </w:tc>
        <w:tc>
          <w:tcPr>
            <w:tcW w:w="1547" w:type="dxa"/>
            <w:vAlign w:val="center"/>
          </w:tcPr>
          <w:p>
            <w:pPr>
              <w:jc w:val="center"/>
              <w:rPr>
                <w:rFonts w:ascii="Times New Roman" w:hAnsi="Times New Roman" w:cs="Times New Roman"/>
              </w:rPr>
            </w:pPr>
            <w:r>
              <w:rPr>
                <w:rFonts w:ascii="Times New Roman" w:hAnsi="Times New Roman" w:cs="Times New Roman"/>
              </w:rPr>
              <w:t xml:space="preserve">592 </w:t>
            </w:r>
          </w:p>
        </w:tc>
        <w:tc>
          <w:tcPr>
            <w:tcW w:w="1545" w:type="dxa"/>
            <w:vAlign w:val="center"/>
          </w:tcPr>
          <w:p>
            <w:pPr>
              <w:jc w:val="center"/>
              <w:rPr>
                <w:rFonts w:ascii="Times New Roman" w:hAnsi="Times New Roman" w:cs="Times New Roman"/>
              </w:rPr>
            </w:pPr>
            <w:r>
              <w:rPr>
                <w:rFonts w:ascii="Times New Roman" w:hAnsi="Times New Roman" w:cs="Times New Roman"/>
              </w:rPr>
              <w:t>615</w:t>
            </w:r>
          </w:p>
        </w:tc>
      </w:tr>
      <w:tr>
        <w:trPr>
          <w:jc w:val="center"/>
        </w:trPr>
        <w:tc>
          <w:tcPr>
            <w:tcW w:w="1551" w:type="dxa"/>
            <w:vAlign w:val="center"/>
          </w:tcPr>
          <w:p>
            <w:pPr>
              <w:jc w:val="center"/>
              <w:rPr>
                <w:rFonts w:ascii="Times New Roman" w:hAnsi="Times New Roman" w:cs="Times New Roman"/>
              </w:rPr>
            </w:pPr>
            <w:r>
              <w:rPr>
                <w:rFonts w:hint="eastAsia" w:ascii="Times New Roman" w:hAnsi="Times New Roman" w:cs="宋体"/>
              </w:rPr>
              <w:t>需求量</w:t>
            </w:r>
          </w:p>
        </w:tc>
        <w:tc>
          <w:tcPr>
            <w:tcW w:w="1549" w:type="dxa"/>
            <w:vAlign w:val="center"/>
          </w:tcPr>
          <w:p>
            <w:pPr>
              <w:jc w:val="center"/>
              <w:rPr>
                <w:rFonts w:ascii="Times New Roman" w:hAnsi="Times New Roman" w:cs="Times New Roman"/>
              </w:rPr>
            </w:pPr>
            <w:r>
              <w:rPr>
                <w:rFonts w:ascii="Times New Roman" w:hAnsi="Times New Roman" w:cs="Times New Roman"/>
              </w:rPr>
              <w:t>1080</w:t>
            </w:r>
          </w:p>
        </w:tc>
        <w:tc>
          <w:tcPr>
            <w:tcW w:w="1547" w:type="dxa"/>
            <w:vAlign w:val="center"/>
          </w:tcPr>
          <w:p>
            <w:pPr>
              <w:jc w:val="center"/>
              <w:rPr>
                <w:rFonts w:ascii="Times New Roman" w:hAnsi="Times New Roman" w:cs="Times New Roman"/>
              </w:rPr>
            </w:pPr>
            <w:r>
              <w:rPr>
                <w:rFonts w:ascii="Times New Roman" w:hAnsi="Times New Roman" w:cs="Times New Roman"/>
              </w:rPr>
              <w:t>1132</w:t>
            </w:r>
          </w:p>
        </w:tc>
        <w:tc>
          <w:tcPr>
            <w:tcW w:w="1547" w:type="dxa"/>
            <w:vAlign w:val="center"/>
          </w:tcPr>
          <w:p>
            <w:pPr>
              <w:jc w:val="center"/>
              <w:rPr>
                <w:rFonts w:ascii="Times New Roman" w:hAnsi="Times New Roman" w:cs="Times New Roman"/>
              </w:rPr>
            </w:pPr>
            <w:r>
              <w:rPr>
                <w:rFonts w:ascii="Times New Roman" w:hAnsi="Times New Roman" w:cs="Times New Roman"/>
              </w:rPr>
              <w:t>1186</w:t>
            </w:r>
          </w:p>
        </w:tc>
        <w:tc>
          <w:tcPr>
            <w:tcW w:w="1547" w:type="dxa"/>
            <w:vAlign w:val="center"/>
          </w:tcPr>
          <w:p>
            <w:pPr>
              <w:jc w:val="center"/>
              <w:rPr>
                <w:rFonts w:ascii="Times New Roman" w:hAnsi="Times New Roman" w:cs="Times New Roman"/>
              </w:rPr>
            </w:pPr>
            <w:r>
              <w:rPr>
                <w:rFonts w:ascii="Times New Roman" w:hAnsi="Times New Roman" w:cs="Times New Roman"/>
              </w:rPr>
              <w:t>1243</w:t>
            </w:r>
          </w:p>
        </w:tc>
        <w:tc>
          <w:tcPr>
            <w:tcW w:w="1545" w:type="dxa"/>
            <w:vAlign w:val="center"/>
          </w:tcPr>
          <w:p>
            <w:pPr>
              <w:jc w:val="center"/>
              <w:rPr>
                <w:rFonts w:ascii="Times New Roman" w:hAnsi="Times New Roman" w:cs="Times New Roman"/>
              </w:rPr>
            </w:pPr>
            <w:r>
              <w:rPr>
                <w:rFonts w:ascii="Times New Roman" w:hAnsi="Times New Roman" w:cs="Times New Roman"/>
              </w:rPr>
              <w:t>1300</w:t>
            </w:r>
          </w:p>
        </w:tc>
      </w:tr>
      <w:tr>
        <w:trPr>
          <w:jc w:val="center"/>
        </w:trPr>
        <w:tc>
          <w:tcPr>
            <w:tcW w:w="1551" w:type="dxa"/>
            <w:vAlign w:val="center"/>
          </w:tcPr>
          <w:p>
            <w:pPr>
              <w:jc w:val="center"/>
              <w:rPr>
                <w:rFonts w:ascii="Times New Roman" w:hAnsi="Times New Roman" w:cs="Times New Roman"/>
              </w:rPr>
            </w:pPr>
            <w:r>
              <w:rPr>
                <w:rFonts w:hint="eastAsia" w:ascii="Times New Roman" w:hAnsi="Times New Roman" w:cs="宋体"/>
              </w:rPr>
              <w:t>平</w:t>
            </w:r>
            <w:r>
              <w:rPr>
                <w:rFonts w:ascii="Times New Roman" w:hAnsi="Times New Roman" w:cs="Times New Roman"/>
              </w:rPr>
              <w:t xml:space="preserve">  </w:t>
            </w:r>
            <w:r>
              <w:rPr>
                <w:rFonts w:hint="eastAsia" w:ascii="Times New Roman" w:hAnsi="Times New Roman" w:cs="宋体"/>
              </w:rPr>
              <w:t>衡</w:t>
            </w:r>
          </w:p>
        </w:tc>
        <w:tc>
          <w:tcPr>
            <w:tcW w:w="1549" w:type="dxa"/>
            <w:vAlign w:val="center"/>
          </w:tcPr>
          <w:p>
            <w:pPr>
              <w:jc w:val="center"/>
              <w:rPr>
                <w:rFonts w:ascii="Times New Roman" w:hAnsi="Times New Roman" w:cs="Times New Roman"/>
              </w:rPr>
            </w:pPr>
            <w:r>
              <w:rPr>
                <w:rFonts w:ascii="Times New Roman" w:hAnsi="Times New Roman" w:cs="Times New Roman"/>
              </w:rPr>
              <w:t>-548</w:t>
            </w:r>
          </w:p>
        </w:tc>
        <w:tc>
          <w:tcPr>
            <w:tcW w:w="1547" w:type="dxa"/>
            <w:vAlign w:val="center"/>
          </w:tcPr>
          <w:p>
            <w:pPr>
              <w:jc w:val="center"/>
              <w:rPr>
                <w:rFonts w:ascii="Times New Roman" w:hAnsi="Times New Roman" w:cs="Times New Roman"/>
              </w:rPr>
            </w:pPr>
            <w:r>
              <w:rPr>
                <w:rFonts w:ascii="Times New Roman" w:hAnsi="Times New Roman" w:cs="Times New Roman"/>
              </w:rPr>
              <w:t>-581</w:t>
            </w:r>
          </w:p>
        </w:tc>
        <w:tc>
          <w:tcPr>
            <w:tcW w:w="1547" w:type="dxa"/>
            <w:vAlign w:val="center"/>
          </w:tcPr>
          <w:p>
            <w:pPr>
              <w:jc w:val="center"/>
              <w:rPr>
                <w:rFonts w:ascii="Times New Roman" w:hAnsi="Times New Roman" w:cs="Times New Roman"/>
              </w:rPr>
            </w:pPr>
            <w:r>
              <w:rPr>
                <w:rFonts w:ascii="Times New Roman" w:hAnsi="Times New Roman" w:cs="Times New Roman"/>
              </w:rPr>
              <w:t>-615</w:t>
            </w:r>
          </w:p>
        </w:tc>
        <w:tc>
          <w:tcPr>
            <w:tcW w:w="1547" w:type="dxa"/>
            <w:vAlign w:val="center"/>
          </w:tcPr>
          <w:p>
            <w:pPr>
              <w:jc w:val="center"/>
              <w:rPr>
                <w:rFonts w:ascii="Times New Roman" w:hAnsi="Times New Roman" w:cs="Times New Roman"/>
              </w:rPr>
            </w:pPr>
            <w:r>
              <w:rPr>
                <w:rFonts w:ascii="Times New Roman" w:hAnsi="Times New Roman" w:cs="Times New Roman"/>
              </w:rPr>
              <w:t>-651</w:t>
            </w:r>
          </w:p>
        </w:tc>
        <w:tc>
          <w:tcPr>
            <w:tcW w:w="1545" w:type="dxa"/>
            <w:vAlign w:val="center"/>
          </w:tcPr>
          <w:p>
            <w:pPr>
              <w:jc w:val="center"/>
              <w:rPr>
                <w:rFonts w:ascii="Times New Roman" w:hAnsi="Times New Roman" w:cs="Times New Roman"/>
              </w:rPr>
            </w:pPr>
            <w:r>
              <w:rPr>
                <w:rFonts w:ascii="Times New Roman" w:hAnsi="Times New Roman" w:cs="Times New Roman"/>
              </w:rPr>
              <w:t>-685</w:t>
            </w:r>
          </w:p>
        </w:tc>
      </w:tr>
    </w:tbl>
    <w:p>
      <w:pPr>
        <w:spacing w:afterLines="50"/>
        <w:ind w:left="31680" w:leftChars="135"/>
        <w:rPr>
          <w:rFonts w:ascii="楷体" w:hAnsi="楷体" w:eastAsia="楷体" w:cs="Times New Roman"/>
        </w:rPr>
      </w:pPr>
      <w:r>
        <w:rPr>
          <w:rFonts w:hint="eastAsia" w:ascii="楷体" w:hAnsi="楷体" w:eastAsia="楷体" w:cs="楷体"/>
        </w:rPr>
        <w:t>资料来源：中国黄金协会（</w:t>
      </w:r>
      <w:r>
        <w:rPr>
          <w:rFonts w:ascii="楷体" w:hAnsi="楷体" w:eastAsia="楷体" w:cs="楷体"/>
        </w:rPr>
        <w:t>WGC</w:t>
      </w:r>
      <w:r>
        <w:rPr>
          <w:rFonts w:hint="eastAsia" w:ascii="楷体" w:hAnsi="楷体" w:eastAsia="楷体" w:cs="楷体"/>
        </w:rPr>
        <w:t>），</w:t>
      </w:r>
      <w:r>
        <w:rPr>
          <w:rFonts w:ascii="楷体" w:hAnsi="楷体" w:eastAsia="楷体" w:cs="楷体"/>
        </w:rPr>
        <w:t>f-</w:t>
      </w:r>
      <w:r>
        <w:rPr>
          <w:rFonts w:hint="eastAsia" w:ascii="楷体" w:hAnsi="楷体" w:eastAsia="楷体" w:cs="楷体"/>
        </w:rPr>
        <w:t>安泰科（</w:t>
      </w:r>
      <w:r>
        <w:rPr>
          <w:rFonts w:ascii="楷体" w:hAnsi="楷体" w:eastAsia="楷体" w:cs="楷体"/>
        </w:rPr>
        <w:t>Antaike</w:t>
      </w:r>
      <w:r>
        <w:rPr>
          <w:rFonts w:hint="eastAsia" w:ascii="楷体" w:hAnsi="楷体" w:eastAsia="楷体" w:cs="楷体"/>
        </w:rPr>
        <w:t>）</w:t>
      </w:r>
      <w:r>
        <w:rPr>
          <w:rFonts w:ascii="楷体" w:hAnsi="楷体" w:eastAsia="楷体" w:cs="Times New Roman"/>
        </w:rPr>
        <w:br/>
      </w:r>
      <w:r>
        <w:rPr>
          <w:rFonts w:hint="eastAsia" w:ascii="楷体" w:hAnsi="楷体" w:eastAsia="楷体" w:cs="楷体"/>
        </w:rPr>
        <w:t>说明：</w:t>
      </w:r>
      <w:r>
        <w:rPr>
          <w:rFonts w:ascii="楷体" w:hAnsi="楷体" w:eastAsia="楷体" w:cs="楷体"/>
        </w:rPr>
        <w:t>*</w:t>
      </w:r>
      <w:r>
        <w:rPr>
          <w:rFonts w:hint="eastAsia" w:ascii="楷体" w:hAnsi="楷体" w:eastAsia="楷体" w:cs="楷体"/>
        </w:rPr>
        <w:t>产量包括国内原料产金和进口原料产金。</w:t>
      </w:r>
    </w:p>
    <w:p>
      <w:pPr>
        <w:pStyle w:val="4"/>
        <w:spacing w:before="240" w:after="120" w:line="415" w:lineRule="auto"/>
        <w:rPr>
          <w:rFonts w:ascii="仿宋" w:hAnsi="仿宋" w:eastAsia="仿宋" w:cs="Times New Roman"/>
          <w:sz w:val="28"/>
          <w:szCs w:val="28"/>
        </w:rPr>
      </w:pPr>
      <w:bookmarkStart w:id="14" w:name="_Toc70684628"/>
      <w:r>
        <w:rPr>
          <w:rFonts w:ascii="仿宋" w:hAnsi="仿宋" w:eastAsia="仿宋" w:cs="仿宋"/>
          <w:sz w:val="28"/>
          <w:szCs w:val="28"/>
        </w:rPr>
        <w:t>3.</w:t>
      </w:r>
      <w:r>
        <w:rPr>
          <w:rFonts w:hint="eastAsia" w:ascii="仿宋" w:hAnsi="仿宋" w:eastAsia="仿宋" w:cs="仿宋"/>
          <w:sz w:val="28"/>
          <w:szCs w:val="28"/>
        </w:rPr>
        <w:t>国内金消费重点领域分析及展望</w:t>
      </w:r>
      <w:bookmarkEnd w:id="14"/>
    </w:p>
    <w:p>
      <w:pPr>
        <w:spacing w:line="560" w:lineRule="exact"/>
        <w:ind w:firstLine="31680" w:firstLineChars="250"/>
        <w:rPr>
          <w:rFonts w:ascii="仿宋" w:hAnsi="仿宋" w:eastAsia="仿宋" w:cs="Times New Roman"/>
          <w:sz w:val="28"/>
          <w:szCs w:val="28"/>
        </w:rPr>
      </w:pPr>
      <w:r>
        <w:rPr>
          <w:rFonts w:hint="eastAsia" w:ascii="仿宋" w:hAnsi="仿宋" w:eastAsia="仿宋" w:cs="仿宋"/>
          <w:sz w:val="28"/>
          <w:szCs w:val="28"/>
        </w:rPr>
        <w:t>目前国内黄金消费为三大领域，黄金珠宝首饰、投资金条金币和工业用金。</w:t>
      </w:r>
      <w:r>
        <w:rPr>
          <w:rFonts w:ascii="仿宋" w:hAnsi="仿宋" w:eastAsia="仿宋" w:cs="仿宋"/>
          <w:sz w:val="28"/>
          <w:szCs w:val="28"/>
        </w:rPr>
        <w:t>2020</w:t>
      </w:r>
      <w:r>
        <w:rPr>
          <w:rFonts w:hint="eastAsia" w:ascii="仿宋" w:hAnsi="仿宋" w:eastAsia="仿宋" w:cs="仿宋"/>
          <w:sz w:val="28"/>
          <w:szCs w:val="28"/>
        </w:rPr>
        <w:t>年中国黄金消费构成比重分别是：珠宝首饰占</w:t>
      </w:r>
      <w:r>
        <w:rPr>
          <w:rFonts w:ascii="仿宋" w:hAnsi="仿宋" w:eastAsia="仿宋" w:cs="仿宋"/>
          <w:sz w:val="28"/>
          <w:szCs w:val="28"/>
        </w:rPr>
        <w:t>60</w:t>
      </w:r>
      <w:r>
        <w:rPr>
          <w:rFonts w:hint="eastAsia" w:ascii="仿宋" w:hAnsi="仿宋" w:eastAsia="仿宋" w:cs="仿宋"/>
          <w:sz w:val="28"/>
          <w:szCs w:val="28"/>
        </w:rPr>
        <w:t>％、金条金币</w:t>
      </w:r>
      <w:r>
        <w:rPr>
          <w:rFonts w:ascii="仿宋" w:hAnsi="仿宋" w:eastAsia="仿宋" w:cs="仿宋"/>
          <w:sz w:val="28"/>
          <w:szCs w:val="28"/>
        </w:rPr>
        <w:t>30</w:t>
      </w:r>
      <w:r>
        <w:rPr>
          <w:rFonts w:hint="eastAsia" w:ascii="仿宋" w:hAnsi="仿宋" w:eastAsia="仿宋" w:cs="仿宋"/>
          <w:sz w:val="28"/>
          <w:szCs w:val="28"/>
        </w:rPr>
        <w:t>％和工业及其他领域用金</w:t>
      </w:r>
      <w:r>
        <w:rPr>
          <w:rFonts w:ascii="仿宋" w:hAnsi="仿宋" w:eastAsia="仿宋" w:cs="仿宋"/>
          <w:sz w:val="28"/>
          <w:szCs w:val="28"/>
        </w:rPr>
        <w:t>10</w:t>
      </w:r>
      <w:r>
        <w:rPr>
          <w:rFonts w:hint="eastAsia" w:ascii="仿宋" w:hAnsi="仿宋" w:eastAsia="仿宋" w:cs="仿宋"/>
          <w:sz w:val="28"/>
          <w:szCs w:val="28"/>
        </w:rPr>
        <w:t>％。</w:t>
      </w:r>
    </w:p>
    <w:p>
      <w:pPr>
        <w:jc w:val="center"/>
        <w:rPr>
          <w:rFonts w:ascii="Arial" w:hAnsi="Arial" w:cs="Arial"/>
          <w:kern w:val="0"/>
        </w:rPr>
      </w:pPr>
      <w:r>
        <w:rPr>
          <w:rFonts w:ascii="Calibri" w:hAnsi="Calibri" w:eastAsia="宋体" w:cs="Times New Roman"/>
          <w:kern w:val="2"/>
          <w:sz w:val="21"/>
          <w:szCs w:val="21"/>
          <w:lang w:val="en-US" w:eastAsia="zh-CN" w:bidi="ar-SA"/>
        </w:rPr>
        <w:pict>
          <v:shape id="图片 50" o:spid="_x0000_s1026" type="#_x0000_t75" style="height:239.25pt;width:405pt;rotation:0f;" o:ole="f" fillcolor="#FFFFFF" filled="f" o:preferrelative="t" stroked="f" coordorigin="0,0" coordsize="21600,21600">
            <v:fill on="f" color2="#FFFFFF" focus="0%"/>
            <v:imagedata gain="65536f" blacklevel="0f" gamma="0" o:title="" r:id="rId6"/>
            <o:lock v:ext="edit" position="f" selection="f" grouping="f" rotation="f" cropping="f" text="f" aspectratio="t"/>
            <w10:wrap type="none"/>
            <w10:anchorlock/>
          </v:shape>
        </w:pict>
      </w:r>
    </w:p>
    <w:p>
      <w:pPr>
        <w:spacing w:afterLines="50"/>
        <w:ind w:firstLine="31680" w:firstLineChars="135"/>
        <w:rPr>
          <w:rFonts w:ascii="楷体" w:hAnsi="楷体" w:eastAsia="楷体" w:cs="Times New Roman"/>
        </w:rPr>
      </w:pPr>
      <w:r>
        <w:rPr>
          <w:rFonts w:hint="eastAsia" w:ascii="楷体" w:hAnsi="楷体" w:eastAsia="楷体" w:cs="楷体"/>
        </w:rPr>
        <w:t>资料来源：中国黄金协会、上海黄金交易所、安泰科</w:t>
      </w:r>
    </w:p>
    <w:p>
      <w:pPr>
        <w:spacing w:afterLines="50"/>
        <w:jc w:val="center"/>
        <w:rPr>
          <w:rFonts w:ascii="Arial" w:hAnsi="Arial" w:eastAsia="黑体" w:cs="Times New Roman"/>
          <w:kern w:val="36"/>
        </w:rPr>
      </w:pPr>
      <w:r>
        <w:rPr>
          <w:rFonts w:hint="eastAsia" w:ascii="Arial" w:hAnsi="Arial" w:eastAsia="黑体" w:cs="黑体"/>
        </w:rPr>
        <w:t>图</w:t>
      </w:r>
      <w:r>
        <w:rPr>
          <w:rFonts w:ascii="Arial" w:hAnsi="Arial" w:eastAsia="黑体" w:cs="Arial"/>
        </w:rPr>
        <w:t>2-1  2011-2020</w:t>
      </w:r>
      <w:r>
        <w:rPr>
          <w:rFonts w:hint="eastAsia" w:ascii="Arial" w:hAnsi="Arial" w:eastAsia="黑体" w:cs="黑体"/>
        </w:rPr>
        <w:t>年中国实物黄金分领域消费与金价走势图</w:t>
      </w:r>
    </w:p>
    <w:p>
      <w:pPr>
        <w:spacing w:line="560" w:lineRule="exact"/>
        <w:ind w:firstLine="31680" w:firstLineChars="250"/>
        <w:rPr>
          <w:rFonts w:ascii="仿宋" w:hAnsi="仿宋" w:eastAsia="仿宋" w:cs="Times New Roman"/>
          <w:kern w:val="0"/>
          <w:sz w:val="28"/>
          <w:szCs w:val="28"/>
        </w:rPr>
      </w:pPr>
      <w:r>
        <w:rPr>
          <w:rFonts w:hint="eastAsia" w:ascii="仿宋" w:hAnsi="仿宋" w:eastAsia="仿宋" w:cs="仿宋"/>
          <w:b/>
          <w:bCs/>
          <w:sz w:val="28"/>
          <w:szCs w:val="28"/>
        </w:rPr>
        <w:t>黄金珠宝首饰领域</w:t>
      </w:r>
      <w:r>
        <w:rPr>
          <w:rFonts w:hint="eastAsia" w:ascii="仿宋" w:hAnsi="仿宋" w:eastAsia="仿宋" w:cs="仿宋"/>
          <w:sz w:val="28"/>
          <w:szCs w:val="28"/>
        </w:rPr>
        <w:t>：黄金珠宝首饰是黄金消费第一大领域，</w:t>
      </w:r>
      <w:r>
        <w:rPr>
          <w:rFonts w:ascii="仿宋" w:hAnsi="仿宋" w:eastAsia="仿宋" w:cs="仿宋"/>
          <w:sz w:val="28"/>
          <w:szCs w:val="28"/>
        </w:rPr>
        <w:t>2020</w:t>
      </w:r>
      <w:r>
        <w:rPr>
          <w:rFonts w:hint="eastAsia" w:ascii="仿宋" w:hAnsi="仿宋" w:eastAsia="仿宋" w:cs="仿宋"/>
          <w:sz w:val="28"/>
          <w:szCs w:val="28"/>
        </w:rPr>
        <w:t>年中国黄金首饰消费</w:t>
      </w:r>
      <w:r>
        <w:rPr>
          <w:rFonts w:ascii="仿宋" w:hAnsi="仿宋" w:eastAsia="仿宋" w:cs="仿宋"/>
          <w:sz w:val="28"/>
          <w:szCs w:val="28"/>
        </w:rPr>
        <w:t>490.6</w:t>
      </w:r>
      <w:r>
        <w:rPr>
          <w:rFonts w:hint="eastAsia" w:ascii="仿宋" w:hAnsi="仿宋" w:eastAsia="仿宋" w:cs="仿宋"/>
          <w:sz w:val="28"/>
          <w:szCs w:val="28"/>
        </w:rPr>
        <w:t>吨，同比下降</w:t>
      </w:r>
      <w:r>
        <w:rPr>
          <w:rFonts w:ascii="仿宋" w:hAnsi="仿宋" w:eastAsia="仿宋" w:cs="仿宋"/>
          <w:sz w:val="28"/>
          <w:szCs w:val="28"/>
        </w:rPr>
        <w:t>27.5%</w:t>
      </w:r>
      <w:r>
        <w:rPr>
          <w:rFonts w:hint="eastAsia" w:ascii="仿宋" w:hAnsi="仿宋" w:eastAsia="仿宋" w:cs="仿宋"/>
          <w:sz w:val="28"/>
          <w:szCs w:val="28"/>
        </w:rPr>
        <w:t>。目前老凤祥股份有限公司、中国黄金集团黄金珠宝股份有限公司位列中国黄金珠宝销售收入前两强；深圳百泰投资控股集团公司、杭州航民百泰首饰有限公司位列中国黄金首饰加工量前两强。黄金珠宝首饰领域品牌化发展趋势明显，市场已形成内陆品牌、香港品牌、国外品牌珠宝企业三足鼎立的竞争局面；内陆黄金珠宝行业零售市场基本被十多个知名品牌所控制，这些品牌约占全国零售市场份额的</w:t>
      </w:r>
      <w:r>
        <w:rPr>
          <w:rFonts w:ascii="仿宋" w:hAnsi="仿宋" w:eastAsia="仿宋" w:cs="仿宋"/>
          <w:sz w:val="28"/>
          <w:szCs w:val="28"/>
        </w:rPr>
        <w:t>70</w:t>
      </w:r>
      <w:r>
        <w:rPr>
          <w:rFonts w:hint="eastAsia" w:ascii="仿宋" w:hAnsi="仿宋" w:eastAsia="仿宋" w:cs="仿宋"/>
          <w:sz w:val="28"/>
          <w:szCs w:val="28"/>
        </w:rPr>
        <w:t>％左右。我国民众目前黄金拥有量与世界人均拥有量相比尚有一定差距，未来还有很大发展空间，国内黄金首饰市场潜力巨大；不过黄金珠宝首饰行业发展受到外部环境、国际金价、居民收入水平消费升级和投资偏好等影响年度需求波动较大。未来黄金珠宝首饰行业发展将更加重视品牌与设计、黄金珠宝首饰风格正在从“传统”向“文化</w:t>
      </w:r>
      <w:r>
        <w:rPr>
          <w:rFonts w:ascii="仿宋" w:hAnsi="仿宋" w:eastAsia="仿宋" w:cs="仿宋"/>
          <w:sz w:val="28"/>
          <w:szCs w:val="28"/>
        </w:rPr>
        <w:t>+</w:t>
      </w:r>
      <w:r>
        <w:rPr>
          <w:rFonts w:hint="eastAsia" w:ascii="仿宋" w:hAnsi="仿宋" w:eastAsia="仿宋" w:cs="仿宋"/>
          <w:sz w:val="28"/>
          <w:szCs w:val="28"/>
        </w:rPr>
        <w:t>时尚”精品黄金转变，区域珠宝首饰市场呈现集群化特征，产业集中度将进一步提高。</w:t>
      </w:r>
    </w:p>
    <w:p>
      <w:pPr>
        <w:spacing w:line="520" w:lineRule="exact"/>
        <w:ind w:firstLine="31680" w:firstLineChars="200"/>
        <w:rPr>
          <w:rFonts w:ascii="仿宋" w:hAnsi="仿宋" w:eastAsia="仿宋" w:cs="Times New Roman"/>
          <w:sz w:val="28"/>
          <w:szCs w:val="28"/>
        </w:rPr>
      </w:pPr>
      <w:r>
        <w:rPr>
          <w:rFonts w:hint="eastAsia" w:ascii="仿宋" w:hAnsi="仿宋" w:eastAsia="仿宋" w:cs="仿宋"/>
          <w:b/>
          <w:bCs/>
          <w:sz w:val="28"/>
          <w:szCs w:val="28"/>
        </w:rPr>
        <w:t>投资金条金币领域：</w:t>
      </w:r>
      <w:r>
        <w:rPr>
          <w:rFonts w:hint="eastAsia" w:ascii="仿宋" w:hAnsi="仿宋" w:eastAsia="仿宋" w:cs="仿宋"/>
          <w:sz w:val="28"/>
          <w:szCs w:val="28"/>
        </w:rPr>
        <w:t>金条金币是黄金消费第二大领域，</w:t>
      </w:r>
      <w:r>
        <w:rPr>
          <w:rFonts w:ascii="仿宋" w:hAnsi="仿宋" w:eastAsia="仿宋" w:cs="仿宋"/>
          <w:sz w:val="28"/>
          <w:szCs w:val="28"/>
        </w:rPr>
        <w:t>2020</w:t>
      </w:r>
      <w:r>
        <w:rPr>
          <w:rFonts w:hint="eastAsia" w:ascii="仿宋" w:hAnsi="仿宋" w:eastAsia="仿宋" w:cs="仿宋"/>
          <w:sz w:val="28"/>
          <w:szCs w:val="28"/>
        </w:rPr>
        <w:t>年我国金条及金币消费</w:t>
      </w:r>
      <w:r>
        <w:rPr>
          <w:rFonts w:ascii="仿宋" w:hAnsi="仿宋" w:eastAsia="仿宋" w:cs="仿宋"/>
          <w:sz w:val="28"/>
          <w:szCs w:val="28"/>
        </w:rPr>
        <w:t>246.6</w:t>
      </w:r>
      <w:r>
        <w:rPr>
          <w:rFonts w:hint="eastAsia" w:ascii="仿宋" w:hAnsi="仿宋" w:eastAsia="仿宋" w:cs="仿宋"/>
          <w:sz w:val="28"/>
          <w:szCs w:val="28"/>
        </w:rPr>
        <w:t>吨，同比增长</w:t>
      </w:r>
      <w:r>
        <w:rPr>
          <w:rFonts w:ascii="仿宋" w:hAnsi="仿宋" w:eastAsia="仿宋" w:cs="仿宋"/>
          <w:sz w:val="28"/>
          <w:szCs w:val="28"/>
        </w:rPr>
        <w:t>9.2%</w:t>
      </w:r>
      <w:r>
        <w:rPr>
          <w:rFonts w:hint="eastAsia" w:ascii="仿宋" w:hAnsi="仿宋" w:eastAsia="仿宋" w:cs="仿宋"/>
          <w:sz w:val="28"/>
          <w:szCs w:val="28"/>
        </w:rPr>
        <w:t>。投资金条主要分为商业银行投资小金条和黄金企业投资金条，中国建设银行和中国黄金集团黄金珠宝股份有限公司投资金条分别在这两个领域份额最大。投资金币主要品种为中国人民银行历年发行的纪念币，如熊猫金币、各种特定纪念金币等。中国人民银行</w:t>
      </w:r>
      <w:r>
        <w:rPr>
          <w:rFonts w:ascii="仿宋" w:hAnsi="仿宋" w:eastAsia="仿宋" w:cs="仿宋"/>
          <w:sz w:val="28"/>
          <w:szCs w:val="28"/>
        </w:rPr>
        <w:t>2020</w:t>
      </w:r>
      <w:r>
        <w:rPr>
          <w:rFonts w:hint="eastAsia" w:ascii="仿宋" w:hAnsi="仿宋" w:eastAsia="仿宋" w:cs="仿宋"/>
          <w:sz w:val="28"/>
          <w:szCs w:val="28"/>
        </w:rPr>
        <w:t>年贵金属纪念币项目发行计划共包括</w:t>
      </w:r>
      <w:r>
        <w:rPr>
          <w:rFonts w:ascii="仿宋" w:hAnsi="仿宋" w:eastAsia="仿宋" w:cs="仿宋"/>
          <w:sz w:val="28"/>
          <w:szCs w:val="28"/>
        </w:rPr>
        <w:t>10</w:t>
      </w:r>
      <w:r>
        <w:rPr>
          <w:rFonts w:hint="eastAsia" w:ascii="仿宋" w:hAnsi="仿宋" w:eastAsia="仿宋" w:cs="仿宋"/>
          <w:sz w:val="28"/>
          <w:szCs w:val="28"/>
        </w:rPr>
        <w:t>个项目，</w:t>
      </w:r>
      <w:r>
        <w:rPr>
          <w:rFonts w:ascii="仿宋" w:hAnsi="仿宋" w:eastAsia="仿宋" w:cs="仿宋"/>
          <w:sz w:val="28"/>
          <w:szCs w:val="28"/>
        </w:rPr>
        <w:t>61</w:t>
      </w:r>
      <w:r>
        <w:rPr>
          <w:rFonts w:hint="eastAsia" w:ascii="仿宋" w:hAnsi="仿宋" w:eastAsia="仿宋" w:cs="仿宋"/>
          <w:sz w:val="28"/>
          <w:szCs w:val="28"/>
        </w:rPr>
        <w:t>个品种；其中金币</w:t>
      </w:r>
      <w:r>
        <w:rPr>
          <w:rFonts w:ascii="仿宋" w:hAnsi="仿宋" w:eastAsia="仿宋" w:cs="仿宋"/>
          <w:sz w:val="28"/>
          <w:szCs w:val="28"/>
        </w:rPr>
        <w:t>30</w:t>
      </w:r>
      <w:r>
        <w:rPr>
          <w:rFonts w:hint="eastAsia" w:ascii="仿宋" w:hAnsi="仿宋" w:eastAsia="仿宋" w:cs="仿宋"/>
          <w:sz w:val="28"/>
          <w:szCs w:val="28"/>
        </w:rPr>
        <w:t>个品种，如果全部发行总计消耗黄金</w:t>
      </w:r>
      <w:r>
        <w:rPr>
          <w:rFonts w:ascii="仿宋" w:hAnsi="仿宋" w:eastAsia="仿宋" w:cs="仿宋"/>
          <w:sz w:val="28"/>
          <w:szCs w:val="28"/>
        </w:rPr>
        <w:t>65.43</w:t>
      </w:r>
      <w:r>
        <w:rPr>
          <w:rFonts w:hint="eastAsia" w:ascii="仿宋" w:hAnsi="仿宋" w:eastAsia="仿宋" w:cs="仿宋"/>
          <w:sz w:val="28"/>
          <w:szCs w:val="28"/>
        </w:rPr>
        <w:t>吨，较</w:t>
      </w:r>
      <w:r>
        <w:rPr>
          <w:rFonts w:ascii="仿宋" w:hAnsi="仿宋" w:eastAsia="仿宋" w:cs="仿宋"/>
          <w:sz w:val="28"/>
          <w:szCs w:val="28"/>
        </w:rPr>
        <w:t>2019</w:t>
      </w:r>
      <w:r>
        <w:rPr>
          <w:rFonts w:hint="eastAsia" w:ascii="仿宋" w:hAnsi="仿宋" w:eastAsia="仿宋" w:cs="仿宋"/>
          <w:sz w:val="28"/>
          <w:szCs w:val="28"/>
        </w:rPr>
        <w:t>年计划发行黄金纪念币减少</w:t>
      </w:r>
      <w:r>
        <w:rPr>
          <w:rFonts w:ascii="仿宋" w:hAnsi="仿宋" w:eastAsia="仿宋" w:cs="仿宋"/>
          <w:sz w:val="28"/>
          <w:szCs w:val="28"/>
        </w:rPr>
        <w:t>14.42</w:t>
      </w:r>
      <w:r>
        <w:rPr>
          <w:rFonts w:hint="eastAsia" w:ascii="仿宋" w:hAnsi="仿宋" w:eastAsia="仿宋" w:cs="仿宋"/>
          <w:sz w:val="28"/>
          <w:szCs w:val="28"/>
        </w:rPr>
        <w:t>吨，同比下降</w:t>
      </w:r>
      <w:r>
        <w:rPr>
          <w:rFonts w:ascii="仿宋" w:hAnsi="仿宋" w:eastAsia="仿宋" w:cs="仿宋"/>
          <w:sz w:val="28"/>
          <w:szCs w:val="28"/>
        </w:rPr>
        <w:t>18.06%</w:t>
      </w:r>
      <w:r>
        <w:rPr>
          <w:rFonts w:hint="eastAsia" w:ascii="仿宋" w:hAnsi="仿宋" w:eastAsia="仿宋" w:cs="仿宋"/>
          <w:sz w:val="28"/>
          <w:szCs w:val="28"/>
        </w:rPr>
        <w:t>。金条金币作为一种资产类别，具有避险保值财富储备等功能，中长期市场前景积极看好。</w:t>
      </w:r>
    </w:p>
    <w:p>
      <w:pPr>
        <w:spacing w:line="560" w:lineRule="exact"/>
        <w:ind w:firstLine="31680" w:firstLineChars="250"/>
        <w:rPr>
          <w:rFonts w:ascii="仿宋" w:hAnsi="仿宋" w:eastAsia="仿宋" w:cs="Times New Roman"/>
          <w:sz w:val="28"/>
          <w:szCs w:val="28"/>
        </w:rPr>
      </w:pPr>
      <w:r>
        <w:rPr>
          <w:rFonts w:hint="eastAsia" w:ascii="仿宋" w:hAnsi="仿宋" w:eastAsia="仿宋" w:cs="仿宋"/>
          <w:b/>
          <w:bCs/>
          <w:sz w:val="28"/>
          <w:szCs w:val="28"/>
        </w:rPr>
        <w:t>工业用金领域：</w:t>
      </w:r>
      <w:r>
        <w:rPr>
          <w:rFonts w:hint="eastAsia" w:ascii="仿宋" w:hAnsi="仿宋" w:eastAsia="仿宋" w:cs="仿宋"/>
          <w:sz w:val="28"/>
          <w:szCs w:val="28"/>
        </w:rPr>
        <w:t>工业用金是黄金消费第三大领域，</w:t>
      </w:r>
      <w:r>
        <w:rPr>
          <w:rFonts w:ascii="仿宋" w:hAnsi="仿宋" w:eastAsia="仿宋" w:cs="仿宋"/>
          <w:sz w:val="28"/>
          <w:szCs w:val="28"/>
        </w:rPr>
        <w:t>2020</w:t>
      </w:r>
      <w:r>
        <w:rPr>
          <w:rFonts w:hint="eastAsia" w:ascii="仿宋" w:hAnsi="仿宋" w:eastAsia="仿宋" w:cs="仿宋"/>
          <w:sz w:val="28"/>
          <w:szCs w:val="28"/>
        </w:rPr>
        <w:t>年中国工业及其他领域用金</w:t>
      </w:r>
      <w:r>
        <w:rPr>
          <w:rFonts w:ascii="仿宋" w:hAnsi="仿宋" w:eastAsia="仿宋" w:cs="仿宋"/>
          <w:sz w:val="28"/>
          <w:szCs w:val="28"/>
        </w:rPr>
        <w:t>83.8</w:t>
      </w:r>
      <w:r>
        <w:rPr>
          <w:rFonts w:hint="eastAsia" w:ascii="仿宋" w:hAnsi="仿宋" w:eastAsia="仿宋" w:cs="仿宋"/>
          <w:sz w:val="28"/>
          <w:szCs w:val="28"/>
        </w:rPr>
        <w:t>吨，同比下降</w:t>
      </w:r>
      <w:r>
        <w:rPr>
          <w:rFonts w:ascii="仿宋" w:hAnsi="仿宋" w:eastAsia="仿宋" w:cs="仿宋"/>
          <w:sz w:val="28"/>
          <w:szCs w:val="28"/>
        </w:rPr>
        <w:t>16.8%</w:t>
      </w:r>
      <w:r>
        <w:rPr>
          <w:rFonts w:hint="eastAsia" w:ascii="仿宋" w:hAnsi="仿宋" w:eastAsia="仿宋" w:cs="仿宋"/>
          <w:sz w:val="28"/>
          <w:szCs w:val="28"/>
        </w:rPr>
        <w:t>。国内工业消费用金主要集中在电子专业材料（键合金丝、金靶材、金蒸发料）、金盐和金箔等三个领域。工业用金代表企业分别是：贺利氏招远贵金属材料有限公司、有研亿金新材料股份有限公司、贵研铂业股份有限公司、山东烟台励福贵金属股份有限公司、南京金箔集团等。传统的工业用金产品主要有：键合金丝、金靶材、半导体芯片与电极等镀膜金蒸发料、金基钎焊料、纳米金涂布与导电膜、金导电胶、金盐化工、建筑装饰等贴金材料（金箔）等等。黄金因具有极好的化学稳定性、良好的导电性能和导热性能，被广泛应用于半导体等高新技术产品，发展前景广阔；随着技术以及应用方法的提高，不断涌现出许多新的产品。目前黄金在工业中的应用研究逐渐抬头，金纳米催化剂的研制近几年成为热点之一，并取得快速发展。化学化工生产用金纳米催化剂，水煤气转化反应用金催化剂、以及纳米金银墨水、金纳米导电膜、医学和生物用金纳米材料的研究开发正在成为关注的热点</w:t>
      </w:r>
      <w:r>
        <w:rPr>
          <w:rFonts w:ascii="仿宋" w:hAnsi="仿宋" w:eastAsia="仿宋" w:cs="仿宋"/>
          <w:sz w:val="28"/>
          <w:szCs w:val="28"/>
        </w:rPr>
        <w:t>,</w:t>
      </w:r>
      <w:r>
        <w:rPr>
          <w:rFonts w:hint="eastAsia" w:ascii="仿宋" w:hAnsi="仿宋" w:eastAsia="仿宋" w:cs="仿宋"/>
          <w:sz w:val="28"/>
          <w:szCs w:val="28"/>
        </w:rPr>
        <w:t>而其它领域如航空与电子等工业金基钎焊材料等领域也有增长潜力。黄金工业应用在一些领域特别是高端应用领域无法替代，未来市场需求还有一定的增长空间。</w:t>
      </w:r>
    </w:p>
    <w:p>
      <w:pPr>
        <w:widowControl/>
        <w:shd w:val="clear" w:color="auto" w:fill="FFFFFF"/>
        <w:spacing w:beforeLines="100"/>
        <w:jc w:val="center"/>
        <w:rPr>
          <w:rFonts w:ascii="黑体" w:hAnsi="黑体" w:eastAsia="黑体" w:cs="Times New Roman"/>
        </w:rPr>
      </w:pPr>
      <w:r>
        <w:rPr>
          <w:rFonts w:hint="eastAsia" w:ascii="黑体" w:hAnsi="黑体" w:eastAsia="黑体" w:cs="黑体"/>
        </w:rPr>
        <w:t>表</w:t>
      </w:r>
      <w:r>
        <w:rPr>
          <w:rFonts w:ascii="黑体" w:hAnsi="黑体" w:eastAsia="黑体" w:cs="黑体"/>
        </w:rPr>
        <w:t xml:space="preserve">2-7  </w:t>
      </w:r>
      <w:r>
        <w:rPr>
          <w:rFonts w:hint="eastAsia" w:ascii="黑体" w:hAnsi="黑体" w:eastAsia="黑体" w:cs="黑体"/>
        </w:rPr>
        <w:t>中国黄金消费分领域分布（单位：吨）</w:t>
      </w:r>
    </w:p>
    <w:tbl>
      <w:tblPr>
        <w:tblW w:w="928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left w:w="108" w:type="dxa"/>
          <w:right w:w="108" w:type="dxa"/>
        </w:tblCellMar>
      </w:tblPr>
      <w:tblGrid>
        <w:gridCol w:w="2528"/>
        <w:gridCol w:w="1690"/>
        <w:gridCol w:w="1690"/>
        <w:gridCol w:w="1690"/>
        <w:gridCol w:w="1688"/>
      </w:tblGrid>
      <w:tr>
        <w:trPr>
          <w:trHeight w:val="288" w:hRule="atLeast"/>
          <w:jc w:val="center"/>
        </w:trPr>
        <w:tc>
          <w:tcPr>
            <w:tcW w:w="2528" w:type="dxa"/>
            <w:tcBorders>
              <w:top w:val="single" w:color="auto" w:sz="12" w:space="0"/>
            </w:tcBorders>
            <w:shd w:val="clear" w:color="auto" w:fill="D9D9D9"/>
            <w:vAlign w:val="center"/>
          </w:tcPr>
          <w:p>
            <w:pPr>
              <w:jc w:val="center"/>
              <w:rPr>
                <w:rFonts w:ascii="宋体" w:cs="Times New Roman"/>
                <w:b/>
                <w:bCs/>
              </w:rPr>
            </w:pPr>
            <w:r>
              <w:rPr>
                <w:rFonts w:hint="eastAsia" w:ascii="宋体" w:hAnsi="宋体" w:cs="宋体"/>
                <w:b/>
                <w:bCs/>
              </w:rPr>
              <w:t>年份</w:t>
            </w:r>
          </w:p>
        </w:tc>
        <w:tc>
          <w:tcPr>
            <w:tcW w:w="1690" w:type="dxa"/>
            <w:tcBorders>
              <w:top w:val="single" w:color="auto" w:sz="12" w:space="0"/>
            </w:tcBorders>
            <w:shd w:val="clear" w:color="auto" w:fill="D9D9D9"/>
            <w:vAlign w:val="center"/>
          </w:tcPr>
          <w:p>
            <w:pPr>
              <w:jc w:val="center"/>
              <w:rPr>
                <w:rFonts w:ascii="宋体" w:cs="Times New Roman"/>
                <w:b/>
                <w:bCs/>
              </w:rPr>
            </w:pPr>
            <w:r>
              <w:rPr>
                <w:rFonts w:hint="eastAsia" w:ascii="宋体" w:hAnsi="宋体" w:cs="宋体"/>
                <w:b/>
                <w:bCs/>
              </w:rPr>
              <w:t>珠宝首饰</w:t>
            </w:r>
          </w:p>
        </w:tc>
        <w:tc>
          <w:tcPr>
            <w:tcW w:w="1690" w:type="dxa"/>
            <w:tcBorders>
              <w:top w:val="single" w:color="auto" w:sz="12" w:space="0"/>
            </w:tcBorders>
            <w:shd w:val="clear" w:color="auto" w:fill="D9D9D9"/>
            <w:vAlign w:val="center"/>
          </w:tcPr>
          <w:p>
            <w:pPr>
              <w:jc w:val="center"/>
              <w:rPr>
                <w:rFonts w:ascii="宋体" w:cs="Times New Roman"/>
                <w:b/>
                <w:bCs/>
              </w:rPr>
            </w:pPr>
            <w:r>
              <w:rPr>
                <w:rFonts w:hint="eastAsia" w:ascii="宋体" w:hAnsi="宋体" w:cs="宋体"/>
                <w:b/>
                <w:bCs/>
              </w:rPr>
              <w:t>金条金币</w:t>
            </w:r>
          </w:p>
        </w:tc>
        <w:tc>
          <w:tcPr>
            <w:tcW w:w="1690" w:type="dxa"/>
            <w:tcBorders>
              <w:top w:val="single" w:color="auto" w:sz="12" w:space="0"/>
            </w:tcBorders>
            <w:shd w:val="clear" w:color="auto" w:fill="D9D9D9"/>
            <w:vAlign w:val="center"/>
          </w:tcPr>
          <w:p>
            <w:pPr>
              <w:jc w:val="center"/>
              <w:rPr>
                <w:rFonts w:ascii="宋体" w:cs="Times New Roman"/>
                <w:b/>
                <w:bCs/>
              </w:rPr>
            </w:pPr>
            <w:r>
              <w:rPr>
                <w:rFonts w:hint="eastAsia" w:ascii="宋体" w:hAnsi="宋体" w:cs="宋体"/>
                <w:b/>
                <w:bCs/>
              </w:rPr>
              <w:t>工业应用</w:t>
            </w:r>
          </w:p>
        </w:tc>
        <w:tc>
          <w:tcPr>
            <w:tcW w:w="1688" w:type="dxa"/>
            <w:tcBorders>
              <w:top w:val="single" w:color="auto" w:sz="12" w:space="0"/>
            </w:tcBorders>
            <w:shd w:val="clear" w:color="auto" w:fill="D9D9D9"/>
            <w:vAlign w:val="center"/>
          </w:tcPr>
          <w:p>
            <w:pPr>
              <w:jc w:val="center"/>
              <w:rPr>
                <w:rFonts w:ascii="宋体" w:cs="Times New Roman"/>
                <w:b/>
                <w:bCs/>
              </w:rPr>
            </w:pPr>
            <w:r>
              <w:rPr>
                <w:rFonts w:hint="eastAsia" w:ascii="宋体" w:hAnsi="宋体" w:cs="宋体"/>
                <w:b/>
                <w:bCs/>
              </w:rPr>
              <w:t>黄金总消费</w:t>
            </w:r>
          </w:p>
        </w:tc>
      </w:tr>
      <w:tr>
        <w:trPr>
          <w:trHeight w:val="259" w:hRule="atLeast"/>
          <w:jc w:val="center"/>
        </w:trPr>
        <w:tc>
          <w:tcPr>
            <w:tcW w:w="2528" w:type="dxa"/>
            <w:vAlign w:val="center"/>
          </w:tcPr>
          <w:p>
            <w:pPr>
              <w:jc w:val="center"/>
              <w:rPr>
                <w:rFonts w:ascii="宋体" w:cs="Times New Roman"/>
              </w:rPr>
            </w:pPr>
            <w:r>
              <w:rPr>
                <w:rFonts w:ascii="宋体" w:hAnsi="宋体" w:cs="宋体"/>
              </w:rPr>
              <w:t>2016</w:t>
            </w:r>
            <w:r>
              <w:rPr>
                <w:rFonts w:hint="eastAsia" w:ascii="宋体" w:hAnsi="宋体" w:cs="宋体"/>
              </w:rPr>
              <w:t>年</w:t>
            </w:r>
          </w:p>
        </w:tc>
        <w:tc>
          <w:tcPr>
            <w:tcW w:w="1690" w:type="dxa"/>
            <w:vAlign w:val="center"/>
          </w:tcPr>
          <w:p>
            <w:pPr>
              <w:jc w:val="center"/>
              <w:rPr>
                <w:rFonts w:ascii="宋体" w:hAnsi="宋体" w:cs="宋体"/>
              </w:rPr>
            </w:pPr>
            <w:r>
              <w:rPr>
                <w:rFonts w:ascii="宋体" w:hAnsi="宋体" w:cs="宋体"/>
              </w:rPr>
              <w:t>611.17</w:t>
            </w:r>
          </w:p>
        </w:tc>
        <w:tc>
          <w:tcPr>
            <w:tcW w:w="1690" w:type="dxa"/>
            <w:vAlign w:val="center"/>
          </w:tcPr>
          <w:p>
            <w:pPr>
              <w:jc w:val="center"/>
              <w:rPr>
                <w:rFonts w:ascii="宋体" w:hAnsi="宋体" w:cs="宋体"/>
              </w:rPr>
            </w:pPr>
            <w:r>
              <w:rPr>
                <w:rFonts w:ascii="宋体" w:hAnsi="宋体" w:cs="宋体"/>
              </w:rPr>
              <w:t>288.83</w:t>
            </w:r>
          </w:p>
        </w:tc>
        <w:tc>
          <w:tcPr>
            <w:tcW w:w="1690" w:type="dxa"/>
            <w:vAlign w:val="center"/>
          </w:tcPr>
          <w:p>
            <w:pPr>
              <w:jc w:val="center"/>
              <w:rPr>
                <w:rFonts w:ascii="宋体" w:hAnsi="宋体" w:cs="宋体"/>
              </w:rPr>
            </w:pPr>
            <w:r>
              <w:rPr>
                <w:rFonts w:ascii="宋体" w:hAnsi="宋体" w:cs="宋体"/>
              </w:rPr>
              <w:t>75.38</w:t>
            </w:r>
          </w:p>
        </w:tc>
        <w:tc>
          <w:tcPr>
            <w:tcW w:w="1688" w:type="dxa"/>
            <w:vAlign w:val="center"/>
          </w:tcPr>
          <w:p>
            <w:pPr>
              <w:jc w:val="center"/>
              <w:rPr>
                <w:rFonts w:ascii="宋体" w:hAnsi="宋体" w:cs="宋体"/>
              </w:rPr>
            </w:pPr>
            <w:r>
              <w:rPr>
                <w:rFonts w:ascii="宋体" w:hAnsi="宋体" w:cs="宋体"/>
              </w:rPr>
              <w:t>975.38</w:t>
            </w:r>
          </w:p>
        </w:tc>
      </w:tr>
      <w:tr>
        <w:trPr>
          <w:trHeight w:val="247" w:hRule="atLeast"/>
          <w:jc w:val="center"/>
        </w:trPr>
        <w:tc>
          <w:tcPr>
            <w:tcW w:w="2528" w:type="dxa"/>
            <w:vAlign w:val="center"/>
          </w:tcPr>
          <w:p>
            <w:pPr>
              <w:jc w:val="center"/>
              <w:rPr>
                <w:rFonts w:ascii="宋体" w:cs="Times New Roman"/>
              </w:rPr>
            </w:pPr>
            <w:r>
              <w:rPr>
                <w:rFonts w:ascii="宋体" w:hAnsi="宋体" w:cs="宋体"/>
              </w:rPr>
              <w:t>2017</w:t>
            </w:r>
            <w:r>
              <w:rPr>
                <w:rFonts w:hint="eastAsia" w:ascii="宋体" w:hAnsi="宋体" w:cs="宋体"/>
              </w:rPr>
              <w:t>年</w:t>
            </w:r>
          </w:p>
        </w:tc>
        <w:tc>
          <w:tcPr>
            <w:tcW w:w="1690" w:type="dxa"/>
            <w:vAlign w:val="center"/>
          </w:tcPr>
          <w:p>
            <w:pPr>
              <w:jc w:val="center"/>
              <w:rPr>
                <w:rFonts w:ascii="宋体" w:hAnsi="宋体" w:cs="宋体"/>
              </w:rPr>
            </w:pPr>
            <w:r>
              <w:rPr>
                <w:rFonts w:ascii="宋体" w:hAnsi="宋体" w:cs="宋体"/>
              </w:rPr>
              <w:t>696.50</w:t>
            </w:r>
          </w:p>
        </w:tc>
        <w:tc>
          <w:tcPr>
            <w:tcW w:w="1690" w:type="dxa"/>
            <w:vAlign w:val="center"/>
          </w:tcPr>
          <w:p>
            <w:pPr>
              <w:jc w:val="center"/>
              <w:rPr>
                <w:rFonts w:ascii="宋体" w:hAnsi="宋体" w:cs="宋体"/>
              </w:rPr>
            </w:pPr>
            <w:r>
              <w:rPr>
                <w:rFonts w:ascii="宋体" w:hAnsi="宋体" w:cs="宋体"/>
              </w:rPr>
              <w:t>302.39</w:t>
            </w:r>
          </w:p>
        </w:tc>
        <w:tc>
          <w:tcPr>
            <w:tcW w:w="1690" w:type="dxa"/>
            <w:vAlign w:val="center"/>
          </w:tcPr>
          <w:p>
            <w:pPr>
              <w:jc w:val="center"/>
              <w:rPr>
                <w:rFonts w:ascii="宋体" w:hAnsi="宋体" w:cs="宋体"/>
              </w:rPr>
            </w:pPr>
            <w:r>
              <w:rPr>
                <w:rFonts w:ascii="宋体" w:hAnsi="宋体" w:cs="宋体"/>
              </w:rPr>
              <w:t>90.18</w:t>
            </w:r>
          </w:p>
        </w:tc>
        <w:tc>
          <w:tcPr>
            <w:tcW w:w="1688" w:type="dxa"/>
            <w:vAlign w:val="center"/>
          </w:tcPr>
          <w:p>
            <w:pPr>
              <w:jc w:val="center"/>
              <w:rPr>
                <w:rFonts w:ascii="宋体" w:hAnsi="宋体" w:cs="宋体"/>
              </w:rPr>
            </w:pPr>
            <w:r>
              <w:rPr>
                <w:rFonts w:ascii="宋体" w:hAnsi="宋体" w:cs="宋体"/>
              </w:rPr>
              <w:t>1089.07</w:t>
            </w:r>
          </w:p>
        </w:tc>
      </w:tr>
      <w:tr>
        <w:trPr>
          <w:trHeight w:val="259" w:hRule="atLeast"/>
          <w:jc w:val="center"/>
        </w:trPr>
        <w:tc>
          <w:tcPr>
            <w:tcW w:w="2528" w:type="dxa"/>
            <w:vAlign w:val="center"/>
          </w:tcPr>
          <w:p>
            <w:pPr>
              <w:jc w:val="center"/>
              <w:rPr>
                <w:rFonts w:ascii="宋体" w:cs="Times New Roman"/>
              </w:rPr>
            </w:pPr>
            <w:r>
              <w:rPr>
                <w:rFonts w:ascii="宋体" w:hAnsi="宋体" w:cs="宋体"/>
              </w:rPr>
              <w:t>2018</w:t>
            </w:r>
            <w:r>
              <w:rPr>
                <w:rFonts w:hint="eastAsia" w:ascii="宋体" w:hAnsi="宋体" w:cs="宋体"/>
              </w:rPr>
              <w:t>年</w:t>
            </w:r>
          </w:p>
        </w:tc>
        <w:tc>
          <w:tcPr>
            <w:tcW w:w="1690" w:type="dxa"/>
            <w:vAlign w:val="center"/>
          </w:tcPr>
          <w:p>
            <w:pPr>
              <w:jc w:val="center"/>
              <w:rPr>
                <w:rFonts w:ascii="宋体" w:hAnsi="宋体" w:cs="宋体"/>
              </w:rPr>
            </w:pPr>
            <w:r>
              <w:rPr>
                <w:rFonts w:ascii="宋体" w:hAnsi="宋体" w:cs="宋体"/>
              </w:rPr>
              <w:t>736.29</w:t>
            </w:r>
          </w:p>
        </w:tc>
        <w:tc>
          <w:tcPr>
            <w:tcW w:w="1690" w:type="dxa"/>
            <w:vAlign w:val="center"/>
          </w:tcPr>
          <w:p>
            <w:pPr>
              <w:jc w:val="center"/>
              <w:rPr>
                <w:rFonts w:ascii="宋体" w:hAnsi="宋体" w:cs="宋体"/>
              </w:rPr>
            </w:pPr>
            <w:r>
              <w:rPr>
                <w:rFonts w:ascii="宋体" w:hAnsi="宋体" w:cs="宋体"/>
              </w:rPr>
              <w:t>309.2</w:t>
            </w:r>
          </w:p>
        </w:tc>
        <w:tc>
          <w:tcPr>
            <w:tcW w:w="1690" w:type="dxa"/>
            <w:vAlign w:val="center"/>
          </w:tcPr>
          <w:p>
            <w:pPr>
              <w:jc w:val="center"/>
              <w:rPr>
                <w:rFonts w:ascii="宋体" w:hAnsi="宋体" w:cs="宋体"/>
              </w:rPr>
            </w:pPr>
            <w:r>
              <w:rPr>
                <w:rFonts w:ascii="宋体" w:hAnsi="宋体" w:cs="宋体"/>
              </w:rPr>
              <w:t>105.94</w:t>
            </w:r>
          </w:p>
        </w:tc>
        <w:tc>
          <w:tcPr>
            <w:tcW w:w="1688" w:type="dxa"/>
            <w:vAlign w:val="center"/>
          </w:tcPr>
          <w:p>
            <w:pPr>
              <w:jc w:val="center"/>
              <w:rPr>
                <w:rFonts w:ascii="宋体" w:hAnsi="宋体" w:cs="宋体"/>
              </w:rPr>
            </w:pPr>
            <w:r>
              <w:rPr>
                <w:rFonts w:ascii="宋体" w:hAnsi="宋体" w:cs="宋体"/>
              </w:rPr>
              <w:t>1151.43</w:t>
            </w:r>
          </w:p>
        </w:tc>
      </w:tr>
      <w:tr>
        <w:trPr>
          <w:trHeight w:val="259" w:hRule="atLeast"/>
          <w:jc w:val="center"/>
        </w:trPr>
        <w:tc>
          <w:tcPr>
            <w:tcW w:w="2528" w:type="dxa"/>
            <w:vAlign w:val="center"/>
          </w:tcPr>
          <w:p>
            <w:pPr>
              <w:jc w:val="center"/>
              <w:rPr>
                <w:rFonts w:ascii="宋体" w:cs="Times New Roman"/>
              </w:rPr>
            </w:pPr>
            <w:r>
              <w:rPr>
                <w:rFonts w:ascii="宋体" w:hAnsi="宋体" w:cs="宋体"/>
              </w:rPr>
              <w:t>2019</w:t>
            </w:r>
            <w:r>
              <w:rPr>
                <w:rFonts w:hint="eastAsia" w:ascii="宋体" w:hAnsi="宋体" w:cs="宋体"/>
              </w:rPr>
              <w:t>年</w:t>
            </w:r>
          </w:p>
        </w:tc>
        <w:tc>
          <w:tcPr>
            <w:tcW w:w="1690" w:type="dxa"/>
            <w:vAlign w:val="center"/>
          </w:tcPr>
          <w:p>
            <w:pPr>
              <w:jc w:val="center"/>
              <w:rPr>
                <w:rFonts w:ascii="宋体" w:hAnsi="宋体" w:cs="宋体"/>
              </w:rPr>
            </w:pPr>
            <w:r>
              <w:rPr>
                <w:rFonts w:ascii="宋体" w:hAnsi="宋体" w:cs="宋体"/>
              </w:rPr>
              <w:t>676.23</w:t>
            </w:r>
          </w:p>
        </w:tc>
        <w:tc>
          <w:tcPr>
            <w:tcW w:w="1690" w:type="dxa"/>
            <w:vAlign w:val="center"/>
          </w:tcPr>
          <w:p>
            <w:pPr>
              <w:jc w:val="center"/>
              <w:rPr>
                <w:rFonts w:ascii="宋体" w:hAnsi="宋体" w:cs="宋体"/>
              </w:rPr>
            </w:pPr>
            <w:r>
              <w:rPr>
                <w:rFonts w:ascii="宋体" w:hAnsi="宋体" w:cs="宋体"/>
              </w:rPr>
              <w:t>225.80</w:t>
            </w:r>
          </w:p>
        </w:tc>
        <w:tc>
          <w:tcPr>
            <w:tcW w:w="1690" w:type="dxa"/>
            <w:vAlign w:val="center"/>
          </w:tcPr>
          <w:p>
            <w:pPr>
              <w:jc w:val="center"/>
              <w:rPr>
                <w:rFonts w:ascii="宋体" w:hAnsi="宋体" w:cs="宋体"/>
              </w:rPr>
            </w:pPr>
            <w:r>
              <w:rPr>
                <w:rFonts w:ascii="宋体" w:hAnsi="宋体" w:cs="宋体"/>
              </w:rPr>
              <w:t>100.75</w:t>
            </w:r>
          </w:p>
        </w:tc>
        <w:tc>
          <w:tcPr>
            <w:tcW w:w="1688" w:type="dxa"/>
            <w:vAlign w:val="center"/>
          </w:tcPr>
          <w:p>
            <w:pPr>
              <w:jc w:val="center"/>
              <w:rPr>
                <w:rFonts w:ascii="宋体" w:hAnsi="宋体" w:cs="宋体"/>
              </w:rPr>
            </w:pPr>
            <w:r>
              <w:rPr>
                <w:rFonts w:ascii="宋体" w:hAnsi="宋体" w:cs="宋体"/>
              </w:rPr>
              <w:t>1002.78</w:t>
            </w:r>
          </w:p>
        </w:tc>
      </w:tr>
      <w:tr>
        <w:trPr>
          <w:trHeight w:val="259" w:hRule="atLeast"/>
          <w:jc w:val="center"/>
        </w:trPr>
        <w:tc>
          <w:tcPr>
            <w:tcW w:w="2528" w:type="dxa"/>
            <w:vAlign w:val="center"/>
          </w:tcPr>
          <w:p>
            <w:pPr>
              <w:jc w:val="center"/>
              <w:rPr>
                <w:rFonts w:ascii="宋体" w:cs="Times New Roman"/>
              </w:rPr>
            </w:pPr>
            <w:r>
              <w:rPr>
                <w:rFonts w:ascii="宋体" w:hAnsi="宋体" w:cs="宋体"/>
              </w:rPr>
              <w:t>2020</w:t>
            </w:r>
            <w:r>
              <w:rPr>
                <w:rFonts w:hint="eastAsia" w:ascii="宋体" w:hAnsi="宋体" w:cs="宋体"/>
              </w:rPr>
              <w:t>年</w:t>
            </w:r>
          </w:p>
        </w:tc>
        <w:tc>
          <w:tcPr>
            <w:tcW w:w="1690" w:type="dxa"/>
            <w:vAlign w:val="center"/>
          </w:tcPr>
          <w:p>
            <w:pPr>
              <w:jc w:val="center"/>
              <w:rPr>
                <w:rFonts w:ascii="宋体" w:hAnsi="宋体" w:cs="宋体"/>
              </w:rPr>
            </w:pPr>
            <w:r>
              <w:rPr>
                <w:rFonts w:ascii="宋体" w:hAnsi="宋体" w:cs="宋体"/>
              </w:rPr>
              <w:t>490.6</w:t>
            </w:r>
          </w:p>
        </w:tc>
        <w:tc>
          <w:tcPr>
            <w:tcW w:w="1690" w:type="dxa"/>
            <w:vAlign w:val="center"/>
          </w:tcPr>
          <w:p>
            <w:pPr>
              <w:jc w:val="center"/>
              <w:rPr>
                <w:rFonts w:ascii="宋体" w:hAnsi="宋体" w:cs="宋体"/>
              </w:rPr>
            </w:pPr>
            <w:r>
              <w:rPr>
                <w:rFonts w:ascii="宋体" w:hAnsi="宋体" w:cs="宋体"/>
              </w:rPr>
              <w:t>246.6</w:t>
            </w:r>
          </w:p>
        </w:tc>
        <w:tc>
          <w:tcPr>
            <w:tcW w:w="1690" w:type="dxa"/>
            <w:vAlign w:val="center"/>
          </w:tcPr>
          <w:p>
            <w:pPr>
              <w:jc w:val="center"/>
              <w:rPr>
                <w:rFonts w:ascii="宋体" w:hAnsi="宋体" w:cs="宋体"/>
              </w:rPr>
            </w:pPr>
            <w:r>
              <w:rPr>
                <w:rFonts w:ascii="宋体" w:hAnsi="宋体" w:cs="宋体"/>
              </w:rPr>
              <w:t>83.8</w:t>
            </w:r>
          </w:p>
        </w:tc>
        <w:tc>
          <w:tcPr>
            <w:tcW w:w="1688" w:type="dxa"/>
            <w:vAlign w:val="center"/>
          </w:tcPr>
          <w:p>
            <w:pPr>
              <w:jc w:val="center"/>
              <w:rPr>
                <w:rFonts w:ascii="宋体" w:hAnsi="宋体" w:cs="宋体"/>
              </w:rPr>
            </w:pPr>
            <w:r>
              <w:rPr>
                <w:rFonts w:ascii="宋体" w:hAnsi="宋体" w:cs="宋体"/>
              </w:rPr>
              <w:t>821</w:t>
            </w:r>
          </w:p>
        </w:tc>
      </w:tr>
      <w:tr>
        <w:trPr>
          <w:trHeight w:val="259" w:hRule="atLeast"/>
          <w:jc w:val="center"/>
        </w:trPr>
        <w:tc>
          <w:tcPr>
            <w:tcW w:w="2528" w:type="dxa"/>
            <w:vAlign w:val="center"/>
          </w:tcPr>
          <w:p>
            <w:pPr>
              <w:jc w:val="center"/>
              <w:rPr>
                <w:rFonts w:ascii="宋体" w:cs="Times New Roman"/>
              </w:rPr>
            </w:pPr>
            <w:r>
              <w:rPr>
                <w:rFonts w:ascii="宋体" w:hAnsi="宋体" w:cs="宋体"/>
              </w:rPr>
              <w:t>2021</w:t>
            </w:r>
            <w:r>
              <w:rPr>
                <w:rFonts w:hint="eastAsia" w:ascii="宋体" w:hAnsi="宋体" w:cs="宋体"/>
              </w:rPr>
              <w:t>年（</w:t>
            </w:r>
            <w:r>
              <w:rPr>
                <w:rFonts w:ascii="宋体" w:hAnsi="宋体" w:cs="宋体"/>
              </w:rPr>
              <w:t>f</w:t>
            </w:r>
            <w:r>
              <w:rPr>
                <w:rFonts w:hint="eastAsia" w:ascii="宋体" w:hAnsi="宋体" w:cs="宋体"/>
              </w:rPr>
              <w:t>）</w:t>
            </w:r>
          </w:p>
        </w:tc>
        <w:tc>
          <w:tcPr>
            <w:tcW w:w="1690" w:type="dxa"/>
            <w:vAlign w:val="center"/>
          </w:tcPr>
          <w:p>
            <w:pPr>
              <w:jc w:val="center"/>
              <w:rPr>
                <w:rFonts w:ascii="宋体" w:hAnsi="宋体" w:cs="宋体"/>
              </w:rPr>
            </w:pPr>
            <w:r>
              <w:rPr>
                <w:rFonts w:ascii="宋体" w:hAnsi="宋体" w:cs="宋体"/>
              </w:rPr>
              <w:t>803</w:t>
            </w:r>
          </w:p>
        </w:tc>
        <w:tc>
          <w:tcPr>
            <w:tcW w:w="1690" w:type="dxa"/>
            <w:vAlign w:val="center"/>
          </w:tcPr>
          <w:p>
            <w:pPr>
              <w:jc w:val="center"/>
              <w:rPr>
                <w:rFonts w:ascii="宋体" w:hAnsi="宋体" w:cs="宋体"/>
              </w:rPr>
            </w:pPr>
            <w:r>
              <w:rPr>
                <w:rFonts w:ascii="宋体" w:hAnsi="宋体" w:cs="宋体"/>
              </w:rPr>
              <w:t>189</w:t>
            </w:r>
          </w:p>
        </w:tc>
        <w:tc>
          <w:tcPr>
            <w:tcW w:w="1690" w:type="dxa"/>
            <w:vAlign w:val="center"/>
          </w:tcPr>
          <w:p>
            <w:pPr>
              <w:jc w:val="center"/>
              <w:rPr>
                <w:rFonts w:ascii="宋体" w:hAnsi="宋体" w:cs="宋体"/>
              </w:rPr>
            </w:pPr>
            <w:r>
              <w:rPr>
                <w:rFonts w:ascii="宋体" w:hAnsi="宋体" w:cs="宋体"/>
              </w:rPr>
              <w:t>88</w:t>
            </w:r>
          </w:p>
        </w:tc>
        <w:tc>
          <w:tcPr>
            <w:tcW w:w="1688" w:type="dxa"/>
            <w:vAlign w:val="center"/>
          </w:tcPr>
          <w:p>
            <w:pPr>
              <w:jc w:val="center"/>
              <w:rPr>
                <w:rFonts w:ascii="宋体" w:hAnsi="宋体" w:cs="宋体"/>
              </w:rPr>
            </w:pPr>
            <w:r>
              <w:rPr>
                <w:rFonts w:ascii="宋体" w:hAnsi="宋体" w:cs="宋体"/>
              </w:rPr>
              <w:t>1080</w:t>
            </w:r>
          </w:p>
        </w:tc>
      </w:tr>
      <w:tr>
        <w:trPr>
          <w:trHeight w:val="259" w:hRule="atLeast"/>
          <w:jc w:val="center"/>
        </w:trPr>
        <w:tc>
          <w:tcPr>
            <w:tcW w:w="2528" w:type="dxa"/>
            <w:vAlign w:val="center"/>
          </w:tcPr>
          <w:p>
            <w:pPr>
              <w:jc w:val="center"/>
              <w:rPr>
                <w:rFonts w:ascii="宋体" w:cs="Times New Roman"/>
              </w:rPr>
            </w:pPr>
            <w:r>
              <w:rPr>
                <w:rFonts w:ascii="宋体" w:hAnsi="宋体" w:cs="宋体"/>
              </w:rPr>
              <w:t>2022</w:t>
            </w:r>
            <w:r>
              <w:rPr>
                <w:rFonts w:hint="eastAsia" w:ascii="宋体" w:hAnsi="宋体" w:cs="宋体"/>
              </w:rPr>
              <w:t>年（</w:t>
            </w:r>
            <w:r>
              <w:rPr>
                <w:rFonts w:ascii="宋体" w:hAnsi="宋体" w:cs="宋体"/>
              </w:rPr>
              <w:t>f</w:t>
            </w:r>
            <w:r>
              <w:rPr>
                <w:rFonts w:hint="eastAsia" w:ascii="宋体" w:hAnsi="宋体" w:cs="宋体"/>
              </w:rPr>
              <w:t>）</w:t>
            </w:r>
          </w:p>
        </w:tc>
        <w:tc>
          <w:tcPr>
            <w:tcW w:w="1690" w:type="dxa"/>
            <w:vAlign w:val="center"/>
          </w:tcPr>
          <w:p>
            <w:pPr>
              <w:jc w:val="center"/>
              <w:rPr>
                <w:rFonts w:ascii="宋体" w:hAnsi="宋体" w:cs="宋体"/>
              </w:rPr>
            </w:pPr>
            <w:r>
              <w:rPr>
                <w:rFonts w:ascii="宋体" w:hAnsi="宋体" w:cs="宋体"/>
              </w:rPr>
              <w:t>836</w:t>
            </w:r>
          </w:p>
        </w:tc>
        <w:tc>
          <w:tcPr>
            <w:tcW w:w="1690" w:type="dxa"/>
            <w:vAlign w:val="center"/>
          </w:tcPr>
          <w:p>
            <w:pPr>
              <w:jc w:val="center"/>
              <w:rPr>
                <w:rFonts w:ascii="宋体" w:hAnsi="宋体" w:cs="宋体"/>
              </w:rPr>
            </w:pPr>
            <w:r>
              <w:rPr>
                <w:rFonts w:ascii="宋体" w:hAnsi="宋体" w:cs="宋体"/>
              </w:rPr>
              <w:t>199</w:t>
            </w:r>
          </w:p>
        </w:tc>
        <w:tc>
          <w:tcPr>
            <w:tcW w:w="1690" w:type="dxa"/>
            <w:vAlign w:val="center"/>
          </w:tcPr>
          <w:p>
            <w:pPr>
              <w:jc w:val="center"/>
              <w:rPr>
                <w:rFonts w:ascii="宋体" w:hAnsi="宋体" w:cs="宋体"/>
              </w:rPr>
            </w:pPr>
            <w:r>
              <w:rPr>
                <w:rFonts w:ascii="宋体" w:hAnsi="宋体" w:cs="宋体"/>
              </w:rPr>
              <w:t>97</w:t>
            </w:r>
          </w:p>
        </w:tc>
        <w:tc>
          <w:tcPr>
            <w:tcW w:w="1688" w:type="dxa"/>
            <w:vAlign w:val="center"/>
          </w:tcPr>
          <w:p>
            <w:pPr>
              <w:jc w:val="center"/>
              <w:rPr>
                <w:rFonts w:ascii="宋体" w:hAnsi="宋体" w:cs="宋体"/>
              </w:rPr>
            </w:pPr>
            <w:r>
              <w:rPr>
                <w:rFonts w:ascii="宋体" w:hAnsi="宋体" w:cs="宋体"/>
              </w:rPr>
              <w:t>1132</w:t>
            </w:r>
          </w:p>
        </w:tc>
      </w:tr>
      <w:tr>
        <w:trPr>
          <w:trHeight w:val="259" w:hRule="atLeast"/>
          <w:jc w:val="center"/>
        </w:trPr>
        <w:tc>
          <w:tcPr>
            <w:tcW w:w="2528" w:type="dxa"/>
            <w:vAlign w:val="center"/>
          </w:tcPr>
          <w:p>
            <w:pPr>
              <w:jc w:val="center"/>
              <w:rPr>
                <w:rFonts w:ascii="宋体" w:cs="Times New Roman"/>
              </w:rPr>
            </w:pPr>
            <w:r>
              <w:rPr>
                <w:rFonts w:ascii="宋体" w:hAnsi="宋体" w:cs="宋体"/>
              </w:rPr>
              <w:t>2023</w:t>
            </w:r>
            <w:r>
              <w:rPr>
                <w:rFonts w:hint="eastAsia" w:ascii="宋体" w:hAnsi="宋体" w:cs="宋体"/>
              </w:rPr>
              <w:t>年（</w:t>
            </w:r>
            <w:r>
              <w:rPr>
                <w:rFonts w:ascii="宋体" w:hAnsi="宋体" w:cs="宋体"/>
              </w:rPr>
              <w:t>f</w:t>
            </w:r>
            <w:r>
              <w:rPr>
                <w:rFonts w:hint="eastAsia" w:ascii="宋体" w:hAnsi="宋体" w:cs="宋体"/>
              </w:rPr>
              <w:t>）</w:t>
            </w:r>
          </w:p>
        </w:tc>
        <w:tc>
          <w:tcPr>
            <w:tcW w:w="1690" w:type="dxa"/>
            <w:vAlign w:val="center"/>
          </w:tcPr>
          <w:p>
            <w:pPr>
              <w:jc w:val="center"/>
              <w:rPr>
                <w:rFonts w:ascii="宋体" w:hAnsi="宋体" w:cs="宋体"/>
              </w:rPr>
            </w:pPr>
            <w:r>
              <w:rPr>
                <w:rFonts w:ascii="宋体" w:hAnsi="宋体" w:cs="宋体"/>
              </w:rPr>
              <w:t>870</w:t>
            </w:r>
          </w:p>
        </w:tc>
        <w:tc>
          <w:tcPr>
            <w:tcW w:w="1690" w:type="dxa"/>
            <w:vAlign w:val="center"/>
          </w:tcPr>
          <w:p>
            <w:pPr>
              <w:jc w:val="center"/>
              <w:rPr>
                <w:rFonts w:ascii="宋体" w:hAnsi="宋体" w:cs="宋体"/>
              </w:rPr>
            </w:pPr>
            <w:r>
              <w:rPr>
                <w:rFonts w:ascii="宋体" w:hAnsi="宋体" w:cs="宋体"/>
              </w:rPr>
              <w:t>209</w:t>
            </w:r>
          </w:p>
        </w:tc>
        <w:tc>
          <w:tcPr>
            <w:tcW w:w="1690" w:type="dxa"/>
            <w:vAlign w:val="center"/>
          </w:tcPr>
          <w:p>
            <w:pPr>
              <w:jc w:val="center"/>
              <w:rPr>
                <w:rFonts w:ascii="宋体" w:hAnsi="宋体" w:cs="宋体"/>
              </w:rPr>
            </w:pPr>
            <w:r>
              <w:rPr>
                <w:rFonts w:ascii="宋体" w:hAnsi="宋体" w:cs="宋体"/>
              </w:rPr>
              <w:t>107</w:t>
            </w:r>
          </w:p>
        </w:tc>
        <w:tc>
          <w:tcPr>
            <w:tcW w:w="1688" w:type="dxa"/>
            <w:vAlign w:val="center"/>
          </w:tcPr>
          <w:p>
            <w:pPr>
              <w:jc w:val="center"/>
              <w:rPr>
                <w:rFonts w:ascii="宋体" w:hAnsi="宋体" w:cs="宋体"/>
              </w:rPr>
            </w:pPr>
            <w:r>
              <w:rPr>
                <w:rFonts w:ascii="宋体" w:hAnsi="宋体" w:cs="宋体"/>
              </w:rPr>
              <w:t>1186</w:t>
            </w:r>
          </w:p>
        </w:tc>
      </w:tr>
      <w:tr>
        <w:trPr>
          <w:trHeight w:val="259" w:hRule="atLeast"/>
          <w:jc w:val="center"/>
        </w:trPr>
        <w:tc>
          <w:tcPr>
            <w:tcW w:w="2528" w:type="dxa"/>
            <w:vAlign w:val="center"/>
          </w:tcPr>
          <w:p>
            <w:pPr>
              <w:jc w:val="center"/>
              <w:rPr>
                <w:rFonts w:ascii="宋体" w:cs="Times New Roman"/>
              </w:rPr>
            </w:pPr>
            <w:r>
              <w:rPr>
                <w:rFonts w:ascii="宋体" w:hAnsi="宋体" w:cs="宋体"/>
              </w:rPr>
              <w:t>2024</w:t>
            </w:r>
            <w:r>
              <w:rPr>
                <w:rFonts w:hint="eastAsia" w:ascii="宋体" w:hAnsi="宋体" w:cs="宋体"/>
              </w:rPr>
              <w:t>年（</w:t>
            </w:r>
            <w:r>
              <w:rPr>
                <w:rFonts w:ascii="宋体" w:hAnsi="宋体" w:cs="宋体"/>
              </w:rPr>
              <w:t>f</w:t>
            </w:r>
            <w:r>
              <w:rPr>
                <w:rFonts w:hint="eastAsia" w:ascii="宋体" w:hAnsi="宋体" w:cs="宋体"/>
              </w:rPr>
              <w:t>）</w:t>
            </w:r>
          </w:p>
        </w:tc>
        <w:tc>
          <w:tcPr>
            <w:tcW w:w="1690" w:type="dxa"/>
            <w:vAlign w:val="center"/>
          </w:tcPr>
          <w:p>
            <w:pPr>
              <w:jc w:val="center"/>
              <w:rPr>
                <w:rFonts w:ascii="宋体" w:hAnsi="宋体" w:cs="宋体"/>
              </w:rPr>
            </w:pPr>
            <w:r>
              <w:rPr>
                <w:rFonts w:ascii="宋体" w:hAnsi="宋体" w:cs="宋体"/>
              </w:rPr>
              <w:t>906</w:t>
            </w:r>
          </w:p>
        </w:tc>
        <w:tc>
          <w:tcPr>
            <w:tcW w:w="1690" w:type="dxa"/>
            <w:vAlign w:val="center"/>
          </w:tcPr>
          <w:p>
            <w:pPr>
              <w:jc w:val="center"/>
              <w:rPr>
                <w:rFonts w:ascii="宋体" w:hAnsi="宋体" w:cs="宋体"/>
              </w:rPr>
            </w:pPr>
            <w:r>
              <w:rPr>
                <w:rFonts w:ascii="宋体" w:hAnsi="宋体" w:cs="宋体"/>
              </w:rPr>
              <w:t>220</w:t>
            </w:r>
          </w:p>
        </w:tc>
        <w:tc>
          <w:tcPr>
            <w:tcW w:w="1690" w:type="dxa"/>
            <w:vAlign w:val="center"/>
          </w:tcPr>
          <w:p>
            <w:pPr>
              <w:jc w:val="center"/>
              <w:rPr>
                <w:rFonts w:ascii="宋体" w:hAnsi="宋体" w:cs="宋体"/>
              </w:rPr>
            </w:pPr>
            <w:r>
              <w:rPr>
                <w:rFonts w:ascii="宋体" w:hAnsi="宋体" w:cs="宋体"/>
              </w:rPr>
              <w:t>117</w:t>
            </w:r>
          </w:p>
        </w:tc>
        <w:tc>
          <w:tcPr>
            <w:tcW w:w="1688" w:type="dxa"/>
            <w:vAlign w:val="center"/>
          </w:tcPr>
          <w:p>
            <w:pPr>
              <w:jc w:val="center"/>
              <w:rPr>
                <w:rFonts w:ascii="宋体" w:hAnsi="宋体" w:cs="宋体"/>
              </w:rPr>
            </w:pPr>
            <w:r>
              <w:rPr>
                <w:rFonts w:ascii="宋体" w:hAnsi="宋体" w:cs="宋体"/>
              </w:rPr>
              <w:t>1243</w:t>
            </w:r>
          </w:p>
        </w:tc>
      </w:tr>
      <w:tr>
        <w:trPr>
          <w:trHeight w:val="259" w:hRule="atLeast"/>
          <w:jc w:val="center"/>
        </w:trPr>
        <w:tc>
          <w:tcPr>
            <w:tcW w:w="2528" w:type="dxa"/>
            <w:tcBorders>
              <w:bottom w:val="single" w:color="auto" w:sz="12" w:space="0"/>
            </w:tcBorders>
            <w:vAlign w:val="center"/>
          </w:tcPr>
          <w:p>
            <w:pPr>
              <w:jc w:val="center"/>
              <w:rPr>
                <w:rFonts w:ascii="宋体" w:cs="Times New Roman"/>
              </w:rPr>
            </w:pPr>
            <w:r>
              <w:rPr>
                <w:rFonts w:ascii="宋体" w:hAnsi="宋体" w:cs="宋体"/>
              </w:rPr>
              <w:t>2025</w:t>
            </w:r>
            <w:r>
              <w:rPr>
                <w:rFonts w:hint="eastAsia" w:ascii="宋体" w:hAnsi="宋体" w:cs="宋体"/>
              </w:rPr>
              <w:t>年（</w:t>
            </w:r>
            <w:r>
              <w:rPr>
                <w:rFonts w:ascii="宋体" w:hAnsi="宋体" w:cs="宋体"/>
              </w:rPr>
              <w:t>f</w:t>
            </w:r>
            <w:r>
              <w:rPr>
                <w:rFonts w:hint="eastAsia" w:ascii="宋体" w:hAnsi="宋体" w:cs="宋体"/>
              </w:rPr>
              <w:t>）</w:t>
            </w:r>
          </w:p>
        </w:tc>
        <w:tc>
          <w:tcPr>
            <w:tcW w:w="1690" w:type="dxa"/>
            <w:tcBorders>
              <w:bottom w:val="single" w:color="auto" w:sz="12" w:space="0"/>
            </w:tcBorders>
            <w:vAlign w:val="center"/>
          </w:tcPr>
          <w:p>
            <w:pPr>
              <w:jc w:val="center"/>
              <w:rPr>
                <w:rFonts w:ascii="宋体" w:hAnsi="宋体" w:cs="宋体"/>
              </w:rPr>
            </w:pPr>
            <w:r>
              <w:rPr>
                <w:rFonts w:ascii="宋体" w:hAnsi="宋体" w:cs="宋体"/>
              </w:rPr>
              <w:t>942</w:t>
            </w:r>
          </w:p>
        </w:tc>
        <w:tc>
          <w:tcPr>
            <w:tcW w:w="1690" w:type="dxa"/>
            <w:tcBorders>
              <w:bottom w:val="single" w:color="auto" w:sz="12" w:space="0"/>
            </w:tcBorders>
            <w:vAlign w:val="center"/>
          </w:tcPr>
          <w:p>
            <w:pPr>
              <w:jc w:val="center"/>
              <w:rPr>
                <w:rFonts w:ascii="宋体" w:hAnsi="宋体" w:cs="宋体"/>
              </w:rPr>
            </w:pPr>
            <w:r>
              <w:rPr>
                <w:rFonts w:ascii="宋体" w:hAnsi="宋体" w:cs="宋体"/>
              </w:rPr>
              <w:t>232</w:t>
            </w:r>
          </w:p>
        </w:tc>
        <w:tc>
          <w:tcPr>
            <w:tcW w:w="1690" w:type="dxa"/>
            <w:tcBorders>
              <w:bottom w:val="single" w:color="auto" w:sz="12" w:space="0"/>
            </w:tcBorders>
            <w:vAlign w:val="center"/>
          </w:tcPr>
          <w:p>
            <w:pPr>
              <w:jc w:val="center"/>
              <w:rPr>
                <w:rFonts w:ascii="宋体" w:hAnsi="宋体" w:cs="宋体"/>
              </w:rPr>
            </w:pPr>
            <w:r>
              <w:rPr>
                <w:rFonts w:ascii="宋体" w:hAnsi="宋体" w:cs="宋体"/>
              </w:rPr>
              <w:t>126</w:t>
            </w:r>
          </w:p>
        </w:tc>
        <w:tc>
          <w:tcPr>
            <w:tcW w:w="1688" w:type="dxa"/>
            <w:tcBorders>
              <w:bottom w:val="single" w:color="auto" w:sz="12" w:space="0"/>
            </w:tcBorders>
            <w:vAlign w:val="center"/>
          </w:tcPr>
          <w:p>
            <w:pPr>
              <w:jc w:val="center"/>
              <w:rPr>
                <w:rFonts w:ascii="宋体" w:hAnsi="宋体" w:cs="宋体"/>
              </w:rPr>
            </w:pPr>
            <w:r>
              <w:rPr>
                <w:rFonts w:ascii="宋体" w:hAnsi="宋体" w:cs="宋体"/>
              </w:rPr>
              <w:t>1300</w:t>
            </w:r>
          </w:p>
        </w:tc>
      </w:tr>
    </w:tbl>
    <w:p>
      <w:pPr>
        <w:spacing w:afterLines="50"/>
        <w:ind w:firstLine="31680" w:firstLineChars="135"/>
        <w:rPr>
          <w:rFonts w:ascii="楷体" w:hAnsi="楷体" w:eastAsia="楷体" w:cs="Times New Roman"/>
        </w:rPr>
      </w:pPr>
      <w:r>
        <w:rPr>
          <w:rFonts w:hint="eastAsia" w:ascii="楷体" w:hAnsi="楷体" w:eastAsia="楷体" w:cs="楷体"/>
        </w:rPr>
        <w:t>数据来源：中国黄金协会、安泰科（</w:t>
      </w:r>
      <w:r>
        <w:rPr>
          <w:rFonts w:ascii="楷体" w:hAnsi="楷体" w:eastAsia="楷体" w:cs="楷体"/>
        </w:rPr>
        <w:t>f</w:t>
      </w:r>
      <w:r>
        <w:rPr>
          <w:rFonts w:hint="eastAsia" w:ascii="楷体" w:hAnsi="楷体" w:eastAsia="楷体" w:cs="楷体"/>
        </w:rPr>
        <w:t>）</w:t>
      </w:r>
    </w:p>
    <w:p>
      <w:pPr>
        <w:pStyle w:val="3"/>
        <w:rPr>
          <w:rFonts w:ascii="仿宋" w:hAnsi="仿宋" w:eastAsia="仿宋" w:cs="Times New Roman"/>
          <w:sz w:val="28"/>
          <w:szCs w:val="28"/>
        </w:rPr>
      </w:pPr>
      <w:bookmarkStart w:id="15" w:name="_Toc70684629"/>
      <w:r>
        <w:rPr>
          <w:rFonts w:hint="eastAsia" w:ascii="仿宋" w:hAnsi="仿宋" w:eastAsia="仿宋" w:cs="仿宋"/>
          <w:sz w:val="28"/>
          <w:szCs w:val="28"/>
        </w:rPr>
        <w:t>（三）稀土产业发展现状及趋势</w:t>
      </w:r>
      <w:bookmarkEnd w:id="15"/>
    </w:p>
    <w:p>
      <w:pPr>
        <w:pStyle w:val="4"/>
        <w:spacing w:before="240" w:after="120" w:line="415" w:lineRule="auto"/>
        <w:rPr>
          <w:rFonts w:ascii="仿宋" w:hAnsi="仿宋" w:eastAsia="仿宋" w:cs="Times New Roman"/>
          <w:sz w:val="28"/>
          <w:szCs w:val="28"/>
        </w:rPr>
      </w:pPr>
      <w:bookmarkStart w:id="16" w:name="_Toc70684630"/>
      <w:r>
        <w:rPr>
          <w:rFonts w:ascii="仿宋" w:hAnsi="仿宋" w:eastAsia="仿宋" w:cs="仿宋"/>
          <w:sz w:val="28"/>
          <w:szCs w:val="28"/>
        </w:rPr>
        <w:t>1.</w:t>
      </w:r>
      <w:r>
        <w:rPr>
          <w:rFonts w:hint="eastAsia" w:ascii="仿宋" w:hAnsi="仿宋" w:eastAsia="仿宋" w:cs="仿宋"/>
          <w:sz w:val="28"/>
          <w:szCs w:val="28"/>
        </w:rPr>
        <w:t>全球稀土资源分布</w:t>
      </w:r>
      <w:bookmarkEnd w:id="16"/>
    </w:p>
    <w:p>
      <w:pPr>
        <w:spacing w:line="560" w:lineRule="exact"/>
        <w:ind w:firstLine="31680" w:firstLineChars="196"/>
        <w:rPr>
          <w:rFonts w:ascii="仿宋" w:hAnsi="仿宋" w:eastAsia="仿宋" w:cs="Times New Roman"/>
          <w:sz w:val="28"/>
          <w:szCs w:val="28"/>
        </w:rPr>
      </w:pPr>
      <w:r>
        <w:rPr>
          <w:rFonts w:hint="eastAsia" w:ascii="仿宋" w:hAnsi="仿宋" w:eastAsia="仿宋" w:cs="仿宋"/>
          <w:sz w:val="28"/>
          <w:szCs w:val="28"/>
        </w:rPr>
        <w:t>据美国地质调查局</w:t>
      </w:r>
      <w:r>
        <w:rPr>
          <w:rFonts w:ascii="仿宋" w:hAnsi="仿宋" w:eastAsia="仿宋" w:cs="仿宋"/>
          <w:sz w:val="28"/>
          <w:szCs w:val="28"/>
        </w:rPr>
        <w:t>2020</w:t>
      </w:r>
      <w:r>
        <w:rPr>
          <w:rFonts w:hint="eastAsia" w:ascii="仿宋" w:hAnsi="仿宋" w:eastAsia="仿宋" w:cs="仿宋"/>
          <w:sz w:val="28"/>
          <w:szCs w:val="28"/>
        </w:rPr>
        <w:t>年资料显示，世界稀土储量约为</w:t>
      </w:r>
      <w:r>
        <w:rPr>
          <w:rFonts w:ascii="仿宋" w:hAnsi="仿宋" w:eastAsia="仿宋" w:cs="仿宋"/>
          <w:sz w:val="28"/>
          <w:szCs w:val="28"/>
        </w:rPr>
        <w:t>1.2</w:t>
      </w:r>
      <w:r>
        <w:rPr>
          <w:rFonts w:hint="eastAsia" w:ascii="仿宋" w:hAnsi="仿宋" w:eastAsia="仿宋" w:cs="仿宋"/>
          <w:sz w:val="28"/>
          <w:szCs w:val="28"/>
        </w:rPr>
        <w:t>亿吨</w:t>
      </w:r>
      <w:r>
        <w:rPr>
          <w:rFonts w:ascii="仿宋" w:hAnsi="仿宋" w:eastAsia="仿宋" w:cs="仿宋"/>
          <w:sz w:val="28"/>
          <w:szCs w:val="28"/>
        </w:rPr>
        <w:t>(</w:t>
      </w:r>
      <w:r>
        <w:rPr>
          <w:rFonts w:hint="eastAsia" w:ascii="仿宋" w:hAnsi="仿宋" w:eastAsia="仿宋" w:cs="仿宋"/>
          <w:sz w:val="28"/>
          <w:szCs w:val="28"/>
        </w:rPr>
        <w:t>以稀土氧化物</w:t>
      </w:r>
      <w:r>
        <w:rPr>
          <w:rFonts w:ascii="仿宋" w:hAnsi="仿宋" w:eastAsia="仿宋" w:cs="仿宋"/>
          <w:sz w:val="28"/>
          <w:szCs w:val="28"/>
        </w:rPr>
        <w:t>REO</w:t>
      </w:r>
      <w:r>
        <w:rPr>
          <w:rFonts w:hint="eastAsia" w:ascii="仿宋" w:hAnsi="仿宋" w:eastAsia="仿宋" w:cs="仿宋"/>
          <w:sz w:val="28"/>
          <w:szCs w:val="28"/>
        </w:rPr>
        <w:t>计</w:t>
      </w:r>
      <w:r>
        <w:rPr>
          <w:rFonts w:ascii="仿宋" w:hAnsi="仿宋" w:eastAsia="仿宋" w:cs="仿宋"/>
          <w:sz w:val="28"/>
          <w:szCs w:val="28"/>
        </w:rPr>
        <w:t>)</w:t>
      </w:r>
      <w:r>
        <w:rPr>
          <w:rFonts w:hint="eastAsia" w:ascii="仿宋" w:hAnsi="仿宋" w:eastAsia="仿宋" w:cs="仿宋"/>
          <w:sz w:val="28"/>
          <w:szCs w:val="28"/>
        </w:rPr>
        <w:t>，其中，中国为</w:t>
      </w:r>
      <w:r>
        <w:rPr>
          <w:rFonts w:ascii="仿宋" w:hAnsi="仿宋" w:eastAsia="仿宋" w:cs="仿宋"/>
          <w:sz w:val="28"/>
          <w:szCs w:val="28"/>
        </w:rPr>
        <w:t>4400</w:t>
      </w:r>
      <w:r>
        <w:rPr>
          <w:rFonts w:hint="eastAsia" w:ascii="仿宋" w:hAnsi="仿宋" w:eastAsia="仿宋" w:cs="仿宋"/>
          <w:sz w:val="28"/>
          <w:szCs w:val="28"/>
        </w:rPr>
        <w:t>万吨、巴西</w:t>
      </w:r>
      <w:r>
        <w:rPr>
          <w:rFonts w:ascii="仿宋" w:hAnsi="仿宋" w:eastAsia="仿宋" w:cs="仿宋"/>
          <w:sz w:val="28"/>
          <w:szCs w:val="28"/>
        </w:rPr>
        <w:t>2100</w:t>
      </w:r>
      <w:r>
        <w:rPr>
          <w:rFonts w:hint="eastAsia" w:ascii="仿宋" w:hAnsi="仿宋" w:eastAsia="仿宋" w:cs="仿宋"/>
          <w:sz w:val="28"/>
          <w:szCs w:val="28"/>
        </w:rPr>
        <w:t>万吨、澳大利亚为</w:t>
      </w:r>
      <w:r>
        <w:rPr>
          <w:rFonts w:ascii="仿宋" w:hAnsi="仿宋" w:eastAsia="仿宋" w:cs="仿宋"/>
          <w:sz w:val="28"/>
          <w:szCs w:val="28"/>
        </w:rPr>
        <w:t>410</w:t>
      </w:r>
      <w:r>
        <w:rPr>
          <w:rFonts w:hint="eastAsia" w:ascii="仿宋" w:hAnsi="仿宋" w:eastAsia="仿宋" w:cs="仿宋"/>
          <w:sz w:val="28"/>
          <w:szCs w:val="28"/>
        </w:rPr>
        <w:t>万吨、印度</w:t>
      </w:r>
      <w:r>
        <w:rPr>
          <w:rFonts w:ascii="仿宋" w:hAnsi="仿宋" w:eastAsia="仿宋" w:cs="仿宋"/>
          <w:sz w:val="28"/>
          <w:szCs w:val="28"/>
        </w:rPr>
        <w:t>690</w:t>
      </w:r>
      <w:r>
        <w:rPr>
          <w:rFonts w:hint="eastAsia" w:ascii="仿宋" w:hAnsi="仿宋" w:eastAsia="仿宋" w:cs="仿宋"/>
          <w:sz w:val="28"/>
          <w:szCs w:val="28"/>
        </w:rPr>
        <w:t>万吨、越南</w:t>
      </w:r>
      <w:r>
        <w:rPr>
          <w:rFonts w:ascii="仿宋" w:hAnsi="仿宋" w:eastAsia="仿宋" w:cs="仿宋"/>
          <w:sz w:val="28"/>
          <w:szCs w:val="28"/>
        </w:rPr>
        <w:t>2200</w:t>
      </w:r>
      <w:r>
        <w:rPr>
          <w:rFonts w:hint="eastAsia" w:ascii="仿宋" w:hAnsi="仿宋" w:eastAsia="仿宋" w:cs="仿宋"/>
          <w:sz w:val="28"/>
          <w:szCs w:val="28"/>
        </w:rPr>
        <w:t>万吨、俄罗斯</w:t>
      </w:r>
      <w:r>
        <w:rPr>
          <w:rFonts w:ascii="仿宋" w:hAnsi="仿宋" w:eastAsia="仿宋" w:cs="仿宋"/>
          <w:sz w:val="28"/>
          <w:szCs w:val="28"/>
        </w:rPr>
        <w:t>1200</w:t>
      </w:r>
      <w:r>
        <w:rPr>
          <w:rFonts w:hint="eastAsia" w:ascii="仿宋" w:hAnsi="仿宋" w:eastAsia="仿宋" w:cs="仿宋"/>
          <w:sz w:val="28"/>
          <w:szCs w:val="28"/>
        </w:rPr>
        <w:t>万吨、美国</w:t>
      </w:r>
      <w:r>
        <w:rPr>
          <w:rFonts w:ascii="仿宋" w:hAnsi="仿宋" w:eastAsia="仿宋" w:cs="仿宋"/>
          <w:sz w:val="28"/>
          <w:szCs w:val="28"/>
        </w:rPr>
        <w:t>150</w:t>
      </w:r>
      <w:r>
        <w:rPr>
          <w:rFonts w:hint="eastAsia" w:ascii="仿宋" w:hAnsi="仿宋" w:eastAsia="仿宋" w:cs="仿宋"/>
          <w:sz w:val="28"/>
          <w:szCs w:val="28"/>
        </w:rPr>
        <w:t>万吨。主要分布在中国、巴西、越南、美国、澳大利亚、俄罗斯、印度等国。</w:t>
      </w:r>
    </w:p>
    <w:p>
      <w:pPr>
        <w:spacing w:line="560" w:lineRule="exact"/>
        <w:ind w:firstLine="31680" w:firstLineChars="196"/>
        <w:rPr>
          <w:rFonts w:ascii="仿宋" w:hAnsi="仿宋" w:eastAsia="仿宋" w:cs="Times New Roman"/>
          <w:spacing w:val="-2"/>
          <w:sz w:val="28"/>
          <w:szCs w:val="28"/>
        </w:rPr>
      </w:pPr>
      <w:r>
        <w:rPr>
          <w:rFonts w:hint="eastAsia" w:ascii="仿宋" w:hAnsi="仿宋" w:eastAsia="仿宋" w:cs="仿宋"/>
          <w:spacing w:val="-2"/>
          <w:sz w:val="28"/>
          <w:szCs w:val="28"/>
        </w:rPr>
        <w:t>中国稀土探明储量居世界之首，且品种齐全，成矿条件优越。据</w:t>
      </w:r>
      <w:r>
        <w:rPr>
          <w:rFonts w:ascii="仿宋" w:hAnsi="仿宋" w:eastAsia="仿宋" w:cs="仿宋"/>
          <w:spacing w:val="-2"/>
          <w:sz w:val="28"/>
          <w:szCs w:val="28"/>
        </w:rPr>
        <w:t>2012</w:t>
      </w:r>
      <w:r>
        <w:rPr>
          <w:rFonts w:hint="eastAsia" w:ascii="仿宋" w:hAnsi="仿宋" w:eastAsia="仿宋" w:cs="仿宋"/>
          <w:spacing w:val="-2"/>
          <w:sz w:val="28"/>
          <w:szCs w:val="28"/>
        </w:rPr>
        <w:t>年</w:t>
      </w:r>
      <w:r>
        <w:rPr>
          <w:rFonts w:ascii="仿宋" w:hAnsi="仿宋" w:eastAsia="仿宋" w:cs="仿宋"/>
          <w:spacing w:val="-2"/>
          <w:sz w:val="28"/>
          <w:szCs w:val="28"/>
        </w:rPr>
        <w:t>6</w:t>
      </w:r>
      <w:r>
        <w:rPr>
          <w:rFonts w:hint="eastAsia" w:ascii="仿宋" w:hAnsi="仿宋" w:eastAsia="仿宋" w:cs="仿宋"/>
          <w:spacing w:val="-2"/>
          <w:sz w:val="28"/>
          <w:szCs w:val="28"/>
        </w:rPr>
        <w:t>月发布的《中国稀土状况与政策》白皮书中数据显示，根据国土资源部</w:t>
      </w:r>
      <w:r>
        <w:rPr>
          <w:rFonts w:ascii="仿宋" w:hAnsi="仿宋" w:eastAsia="仿宋" w:cs="仿宋"/>
          <w:spacing w:val="-2"/>
          <w:sz w:val="28"/>
          <w:szCs w:val="28"/>
        </w:rPr>
        <w:t>2009</w:t>
      </w:r>
      <w:r>
        <w:rPr>
          <w:rFonts w:hint="eastAsia" w:ascii="仿宋" w:hAnsi="仿宋" w:eastAsia="仿宋" w:cs="仿宋"/>
          <w:spacing w:val="-2"/>
          <w:sz w:val="28"/>
          <w:szCs w:val="28"/>
        </w:rPr>
        <w:t>年对稀土资源的普查结果表明，我国稀土基础储量为</w:t>
      </w:r>
      <w:r>
        <w:rPr>
          <w:rFonts w:ascii="仿宋" w:hAnsi="仿宋" w:eastAsia="仿宋" w:cs="仿宋"/>
          <w:spacing w:val="-2"/>
          <w:sz w:val="28"/>
          <w:szCs w:val="28"/>
        </w:rPr>
        <w:t>1859.1</w:t>
      </w:r>
      <w:r>
        <w:rPr>
          <w:rFonts w:hint="eastAsia" w:ascii="仿宋" w:hAnsi="仿宋" w:eastAsia="仿宋" w:cs="仿宋"/>
          <w:spacing w:val="-2"/>
          <w:sz w:val="28"/>
          <w:szCs w:val="28"/>
        </w:rPr>
        <w:t>万吨，约占世界总储量的</w:t>
      </w:r>
      <w:r>
        <w:rPr>
          <w:rFonts w:ascii="仿宋" w:hAnsi="仿宋" w:eastAsia="仿宋" w:cs="仿宋"/>
          <w:spacing w:val="-2"/>
          <w:sz w:val="28"/>
          <w:szCs w:val="28"/>
        </w:rPr>
        <w:t>23</w:t>
      </w:r>
      <w:r>
        <w:rPr>
          <w:rFonts w:hint="eastAsia" w:ascii="仿宋" w:hAnsi="仿宋" w:eastAsia="仿宋" w:cs="仿宋"/>
          <w:spacing w:val="-2"/>
          <w:sz w:val="28"/>
          <w:szCs w:val="28"/>
        </w:rPr>
        <w:t>％，主要分布在内蒙、江西、广东、四川、山东等地区，具有北轻南重的分布特点，而且相对集中。其中，白云鄂博、山东微山、四川凉山等轻稀土资源占全国储量的</w:t>
      </w:r>
      <w:r>
        <w:rPr>
          <w:rFonts w:ascii="仿宋" w:hAnsi="仿宋" w:eastAsia="仿宋" w:cs="仿宋"/>
          <w:spacing w:val="-2"/>
          <w:sz w:val="28"/>
          <w:szCs w:val="28"/>
        </w:rPr>
        <w:t>94%</w:t>
      </w:r>
      <w:r>
        <w:rPr>
          <w:rFonts w:hint="eastAsia" w:ascii="仿宋" w:hAnsi="仿宋" w:eastAsia="仿宋" w:cs="仿宋"/>
          <w:spacing w:val="-2"/>
          <w:sz w:val="28"/>
          <w:szCs w:val="28"/>
        </w:rPr>
        <w:t>，南方七省区的中重稀土资源仅占</w:t>
      </w:r>
      <w:r>
        <w:rPr>
          <w:rFonts w:ascii="仿宋" w:hAnsi="仿宋" w:eastAsia="仿宋" w:cs="仿宋"/>
          <w:spacing w:val="-2"/>
          <w:sz w:val="28"/>
          <w:szCs w:val="28"/>
        </w:rPr>
        <w:t>3%</w:t>
      </w:r>
      <w:r>
        <w:rPr>
          <w:rFonts w:hint="eastAsia" w:ascii="仿宋" w:hAnsi="仿宋" w:eastAsia="仿宋" w:cs="仿宋"/>
          <w:spacing w:val="-2"/>
          <w:sz w:val="28"/>
          <w:szCs w:val="28"/>
        </w:rPr>
        <w:t>。</w:t>
      </w:r>
    </w:p>
    <w:p>
      <w:pPr>
        <w:spacing w:line="440" w:lineRule="exact"/>
        <w:ind w:firstLine="480"/>
        <w:jc w:val="center"/>
        <w:rPr>
          <w:rFonts w:ascii="黑体" w:hAnsi="黑体" w:eastAsia="黑体" w:cs="Times New Roman"/>
          <w:kern w:val="0"/>
        </w:rPr>
      </w:pPr>
      <w:r>
        <w:rPr>
          <w:rFonts w:hint="eastAsia" w:ascii="黑体" w:hAnsi="黑体" w:eastAsia="黑体" w:cs="黑体"/>
          <w:kern w:val="0"/>
        </w:rPr>
        <w:t>表</w:t>
      </w:r>
      <w:r>
        <w:rPr>
          <w:rFonts w:ascii="黑体" w:hAnsi="黑体" w:eastAsia="黑体" w:cs="黑体"/>
          <w:kern w:val="0"/>
        </w:rPr>
        <w:t xml:space="preserve">2-8  </w:t>
      </w:r>
      <w:r>
        <w:rPr>
          <w:rFonts w:hint="eastAsia" w:ascii="黑体" w:hAnsi="黑体" w:eastAsia="黑体" w:cs="黑体"/>
          <w:kern w:val="0"/>
        </w:rPr>
        <w:t>世界稀土资源储量情况</w:t>
      </w:r>
    </w:p>
    <w:tbl>
      <w:tblPr>
        <w:tblW w:w="9286"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
      <w:tblGrid>
        <w:gridCol w:w="1508"/>
        <w:gridCol w:w="1432"/>
        <w:gridCol w:w="1205"/>
        <w:gridCol w:w="1356"/>
        <w:gridCol w:w="3785"/>
      </w:tblGrid>
      <w:tr>
        <w:tc>
          <w:tcPr>
            <w:tcW w:w="1508" w:type="dxa"/>
            <w:shd w:val="clear" w:color="auto" w:fill="D9D9D9"/>
            <w:vAlign w:val="center"/>
          </w:tcPr>
          <w:p>
            <w:pPr>
              <w:jc w:val="center"/>
              <w:rPr>
                <w:rFonts w:ascii="宋体" w:cs="Times New Roman"/>
                <w:b/>
                <w:bCs/>
                <w:kern w:val="0"/>
              </w:rPr>
            </w:pPr>
            <w:r>
              <w:rPr>
                <w:rFonts w:hint="eastAsia" w:ascii="宋体" w:hAnsi="宋体" w:cs="宋体"/>
                <w:b/>
                <w:bCs/>
                <w:kern w:val="0"/>
              </w:rPr>
              <w:t>国别</w:t>
            </w:r>
          </w:p>
        </w:tc>
        <w:tc>
          <w:tcPr>
            <w:tcW w:w="1432" w:type="dxa"/>
            <w:shd w:val="clear" w:color="auto" w:fill="D9D9D9"/>
            <w:vAlign w:val="center"/>
          </w:tcPr>
          <w:p>
            <w:pPr>
              <w:jc w:val="center"/>
              <w:rPr>
                <w:rFonts w:ascii="宋体" w:cs="Times New Roman"/>
                <w:b/>
                <w:bCs/>
                <w:kern w:val="0"/>
              </w:rPr>
            </w:pPr>
            <w:r>
              <w:rPr>
                <w:rFonts w:ascii="宋体" w:hAnsi="宋体" w:cs="宋体"/>
                <w:b/>
                <w:bCs/>
                <w:kern w:val="0"/>
              </w:rPr>
              <w:t>2020</w:t>
            </w:r>
            <w:r>
              <w:rPr>
                <w:rFonts w:hint="eastAsia" w:ascii="宋体" w:hAnsi="宋体" w:cs="宋体"/>
                <w:b/>
                <w:bCs/>
                <w:kern w:val="0"/>
              </w:rPr>
              <w:t>年产量</w:t>
            </w:r>
            <w:r>
              <w:rPr>
                <w:rFonts w:ascii="宋体" w:hAnsi="宋体" w:cs="宋体"/>
                <w:b/>
                <w:bCs/>
                <w:kern w:val="0"/>
              </w:rPr>
              <w:t>(</w:t>
            </w:r>
            <w:r>
              <w:rPr>
                <w:rFonts w:hint="eastAsia" w:ascii="宋体" w:hAnsi="宋体" w:cs="宋体"/>
                <w:b/>
                <w:bCs/>
                <w:kern w:val="0"/>
              </w:rPr>
              <w:t>千吨</w:t>
            </w:r>
            <w:r>
              <w:rPr>
                <w:rFonts w:ascii="宋体" w:hAnsi="宋体" w:cs="宋体"/>
                <w:b/>
                <w:bCs/>
                <w:kern w:val="0"/>
              </w:rPr>
              <w:t>)</w:t>
            </w:r>
          </w:p>
        </w:tc>
        <w:tc>
          <w:tcPr>
            <w:tcW w:w="1205" w:type="dxa"/>
            <w:shd w:val="clear" w:color="auto" w:fill="D9D9D9"/>
            <w:vAlign w:val="center"/>
          </w:tcPr>
          <w:p>
            <w:pPr>
              <w:jc w:val="center"/>
              <w:rPr>
                <w:rFonts w:ascii="宋体" w:cs="Times New Roman"/>
                <w:b/>
                <w:bCs/>
                <w:kern w:val="0"/>
              </w:rPr>
            </w:pPr>
            <w:r>
              <w:rPr>
                <w:rFonts w:hint="eastAsia" w:ascii="宋体" w:hAnsi="宋体" w:cs="宋体"/>
                <w:b/>
                <w:bCs/>
                <w:kern w:val="0"/>
              </w:rPr>
              <w:t>储量</w:t>
            </w:r>
            <w:r>
              <w:rPr>
                <w:rFonts w:ascii="宋体" w:cs="Times New Roman"/>
                <w:b/>
                <w:bCs/>
                <w:kern w:val="0"/>
              </w:rPr>
              <w:br/>
            </w:r>
            <w:r>
              <w:rPr>
                <w:rFonts w:ascii="宋体" w:hAnsi="宋体" w:cs="宋体"/>
                <w:b/>
                <w:bCs/>
                <w:kern w:val="0"/>
              </w:rPr>
              <w:t>(</w:t>
            </w:r>
            <w:r>
              <w:rPr>
                <w:rFonts w:hint="eastAsia" w:ascii="宋体" w:hAnsi="宋体" w:cs="宋体"/>
                <w:b/>
                <w:bCs/>
                <w:kern w:val="0"/>
              </w:rPr>
              <w:t>千吨</w:t>
            </w:r>
            <w:r>
              <w:rPr>
                <w:rFonts w:ascii="宋体" w:hAnsi="宋体" w:cs="宋体"/>
                <w:b/>
                <w:bCs/>
                <w:kern w:val="0"/>
              </w:rPr>
              <w:t>)</w:t>
            </w:r>
          </w:p>
        </w:tc>
        <w:tc>
          <w:tcPr>
            <w:tcW w:w="1356" w:type="dxa"/>
            <w:shd w:val="clear" w:color="auto" w:fill="D9D9D9"/>
            <w:vAlign w:val="center"/>
          </w:tcPr>
          <w:p>
            <w:pPr>
              <w:jc w:val="center"/>
              <w:rPr>
                <w:rFonts w:ascii="宋体" w:cs="Times New Roman"/>
                <w:b/>
                <w:bCs/>
                <w:kern w:val="0"/>
              </w:rPr>
            </w:pPr>
            <w:r>
              <w:rPr>
                <w:rFonts w:hint="eastAsia" w:ascii="宋体" w:hAnsi="宋体" w:cs="宋体"/>
                <w:b/>
                <w:bCs/>
                <w:kern w:val="0"/>
              </w:rPr>
              <w:t>份额</w:t>
            </w:r>
            <w:r>
              <w:rPr>
                <w:rFonts w:ascii="宋体" w:cs="Times New Roman"/>
                <w:b/>
                <w:bCs/>
                <w:kern w:val="0"/>
              </w:rPr>
              <w:br/>
            </w:r>
            <w:r>
              <w:rPr>
                <w:rFonts w:ascii="宋体" w:hAnsi="宋体" w:cs="宋体"/>
                <w:b/>
                <w:bCs/>
                <w:kern w:val="0"/>
              </w:rPr>
              <w:t>(%)</w:t>
            </w:r>
          </w:p>
        </w:tc>
        <w:tc>
          <w:tcPr>
            <w:tcW w:w="3785" w:type="dxa"/>
            <w:shd w:val="clear" w:color="auto" w:fill="D9D9D9"/>
            <w:vAlign w:val="center"/>
          </w:tcPr>
          <w:p>
            <w:pPr>
              <w:jc w:val="center"/>
              <w:rPr>
                <w:rFonts w:ascii="宋体" w:cs="Times New Roman"/>
                <w:b/>
                <w:bCs/>
                <w:kern w:val="0"/>
              </w:rPr>
            </w:pPr>
            <w:r>
              <w:rPr>
                <w:rFonts w:hint="eastAsia" w:ascii="宋体" w:hAnsi="宋体" w:cs="宋体"/>
                <w:b/>
                <w:bCs/>
                <w:kern w:val="0"/>
              </w:rPr>
              <w:t>主要矿种</w:t>
            </w:r>
          </w:p>
        </w:tc>
      </w:tr>
      <w:tr>
        <w:tc>
          <w:tcPr>
            <w:tcW w:w="1508" w:type="dxa"/>
            <w:vAlign w:val="center"/>
          </w:tcPr>
          <w:p>
            <w:pPr>
              <w:rPr>
                <w:rFonts w:ascii="宋体" w:cs="Times New Roman"/>
                <w:kern w:val="0"/>
              </w:rPr>
            </w:pPr>
            <w:r>
              <w:rPr>
                <w:rFonts w:hint="eastAsia" w:ascii="宋体" w:hAnsi="宋体" w:cs="宋体"/>
                <w:kern w:val="0"/>
              </w:rPr>
              <w:t>美国</w:t>
            </w:r>
          </w:p>
        </w:tc>
        <w:tc>
          <w:tcPr>
            <w:tcW w:w="1432" w:type="dxa"/>
            <w:vAlign w:val="center"/>
          </w:tcPr>
          <w:p>
            <w:pPr>
              <w:widowControl/>
              <w:ind w:right="31680" w:rightChars="167"/>
              <w:jc w:val="right"/>
              <w:rPr>
                <w:rFonts w:ascii="宋体" w:cs="Times New Roman"/>
                <w:kern w:val="0"/>
              </w:rPr>
            </w:pPr>
            <w:r>
              <w:rPr>
                <w:rFonts w:ascii="宋体" w:hAnsi="宋体" w:cs="宋体"/>
                <w:kern w:val="0"/>
              </w:rPr>
              <w:t>38</w:t>
            </w:r>
          </w:p>
        </w:tc>
        <w:tc>
          <w:tcPr>
            <w:tcW w:w="1205" w:type="dxa"/>
            <w:vAlign w:val="center"/>
          </w:tcPr>
          <w:p>
            <w:pPr>
              <w:widowControl/>
              <w:ind w:right="31680" w:rightChars="54"/>
              <w:jc w:val="right"/>
              <w:rPr>
                <w:rFonts w:ascii="宋体" w:cs="宋体"/>
                <w:kern w:val="0"/>
              </w:rPr>
            </w:pPr>
            <w:r>
              <w:rPr>
                <w:rFonts w:ascii="宋体" w:hAnsi="宋体" w:cs="宋体"/>
                <w:kern w:val="0"/>
              </w:rPr>
              <w:t>15</w:t>
            </w:r>
            <w:r>
              <w:rPr>
                <w:rFonts w:ascii="宋体" w:cs="宋体"/>
                <w:kern w:val="0"/>
              </w:rPr>
              <w:t>00</w:t>
            </w:r>
          </w:p>
        </w:tc>
        <w:tc>
          <w:tcPr>
            <w:tcW w:w="1356" w:type="dxa"/>
            <w:vAlign w:val="center"/>
          </w:tcPr>
          <w:p>
            <w:pPr>
              <w:ind w:right="31680" w:rightChars="54"/>
              <w:jc w:val="right"/>
              <w:rPr>
                <w:rFonts w:ascii="宋体" w:cs="Times New Roman"/>
                <w:kern w:val="0"/>
              </w:rPr>
            </w:pPr>
            <w:r>
              <w:rPr>
                <w:rFonts w:ascii="宋体" w:hAnsi="宋体" w:cs="宋体"/>
                <w:kern w:val="0"/>
              </w:rPr>
              <w:t>1.21%</w:t>
            </w:r>
          </w:p>
        </w:tc>
        <w:tc>
          <w:tcPr>
            <w:tcW w:w="3785" w:type="dxa"/>
            <w:vAlign w:val="center"/>
          </w:tcPr>
          <w:p>
            <w:pPr>
              <w:widowControl/>
              <w:rPr>
                <w:rFonts w:ascii="宋体" w:cs="Times New Roman"/>
                <w:kern w:val="0"/>
              </w:rPr>
            </w:pPr>
            <w:r>
              <w:rPr>
                <w:rFonts w:hint="eastAsia" w:ascii="宋体" w:hAnsi="宋体" w:cs="宋体"/>
                <w:kern w:val="0"/>
              </w:rPr>
              <w:t>氟碳铈矿、独居石</w:t>
            </w:r>
          </w:p>
        </w:tc>
      </w:tr>
      <w:tr>
        <w:tc>
          <w:tcPr>
            <w:tcW w:w="1508" w:type="dxa"/>
            <w:vAlign w:val="center"/>
          </w:tcPr>
          <w:p>
            <w:pPr>
              <w:rPr>
                <w:rFonts w:ascii="宋体" w:cs="Times New Roman"/>
                <w:kern w:val="0"/>
              </w:rPr>
            </w:pPr>
            <w:r>
              <w:rPr>
                <w:rFonts w:hint="eastAsia" w:ascii="宋体" w:hAnsi="宋体" w:cs="宋体"/>
                <w:kern w:val="0"/>
              </w:rPr>
              <w:t>澳大利亚</w:t>
            </w:r>
          </w:p>
        </w:tc>
        <w:tc>
          <w:tcPr>
            <w:tcW w:w="1432" w:type="dxa"/>
            <w:vAlign w:val="center"/>
          </w:tcPr>
          <w:p>
            <w:pPr>
              <w:widowControl/>
              <w:ind w:right="31680" w:rightChars="167"/>
              <w:jc w:val="right"/>
              <w:rPr>
                <w:rFonts w:ascii="宋体" w:cs="Times New Roman"/>
                <w:kern w:val="0"/>
              </w:rPr>
            </w:pPr>
            <w:r>
              <w:rPr>
                <w:rFonts w:ascii="宋体" w:hAnsi="宋体" w:cs="宋体"/>
                <w:kern w:val="0"/>
              </w:rPr>
              <w:t>17</w:t>
            </w:r>
          </w:p>
        </w:tc>
        <w:tc>
          <w:tcPr>
            <w:tcW w:w="1205" w:type="dxa"/>
            <w:vAlign w:val="center"/>
          </w:tcPr>
          <w:p>
            <w:pPr>
              <w:widowControl/>
              <w:ind w:right="31680" w:rightChars="54"/>
              <w:jc w:val="right"/>
              <w:rPr>
                <w:rFonts w:ascii="宋体" w:cs="宋体"/>
                <w:kern w:val="0"/>
              </w:rPr>
            </w:pPr>
            <w:r>
              <w:rPr>
                <w:rFonts w:ascii="宋体" w:hAnsi="宋体" w:cs="宋体"/>
                <w:kern w:val="0"/>
              </w:rPr>
              <w:t>41</w:t>
            </w:r>
            <w:r>
              <w:rPr>
                <w:rFonts w:ascii="宋体" w:cs="宋体"/>
                <w:kern w:val="0"/>
              </w:rPr>
              <w:t>00</w:t>
            </w:r>
          </w:p>
        </w:tc>
        <w:tc>
          <w:tcPr>
            <w:tcW w:w="1356" w:type="dxa"/>
            <w:vAlign w:val="center"/>
          </w:tcPr>
          <w:p>
            <w:pPr>
              <w:ind w:right="31680" w:rightChars="54"/>
              <w:jc w:val="right"/>
              <w:rPr>
                <w:rFonts w:ascii="宋体" w:cs="Times New Roman"/>
                <w:kern w:val="0"/>
              </w:rPr>
            </w:pPr>
            <w:r>
              <w:rPr>
                <w:rFonts w:ascii="宋体" w:hAnsi="宋体" w:cs="宋体"/>
                <w:kern w:val="0"/>
              </w:rPr>
              <w:t>2.93%</w:t>
            </w:r>
          </w:p>
        </w:tc>
        <w:tc>
          <w:tcPr>
            <w:tcW w:w="3785" w:type="dxa"/>
            <w:vAlign w:val="center"/>
          </w:tcPr>
          <w:p>
            <w:pPr>
              <w:widowControl/>
              <w:rPr>
                <w:rFonts w:ascii="宋体" w:cs="Times New Roman"/>
                <w:kern w:val="0"/>
              </w:rPr>
            </w:pPr>
            <w:r>
              <w:rPr>
                <w:rFonts w:hint="eastAsia" w:ascii="宋体" w:hAnsi="宋体" w:cs="宋体"/>
                <w:kern w:val="0"/>
              </w:rPr>
              <w:t>独居石</w:t>
            </w:r>
          </w:p>
        </w:tc>
      </w:tr>
      <w:tr>
        <w:tc>
          <w:tcPr>
            <w:tcW w:w="1508" w:type="dxa"/>
            <w:vAlign w:val="center"/>
          </w:tcPr>
          <w:p>
            <w:pPr>
              <w:rPr>
                <w:rFonts w:ascii="宋体" w:cs="Times New Roman"/>
                <w:kern w:val="0"/>
              </w:rPr>
            </w:pPr>
            <w:r>
              <w:rPr>
                <w:rFonts w:hint="eastAsia" w:ascii="宋体" w:hAnsi="宋体" w:cs="宋体"/>
                <w:kern w:val="0"/>
              </w:rPr>
              <w:t>巴西</w:t>
            </w:r>
          </w:p>
        </w:tc>
        <w:tc>
          <w:tcPr>
            <w:tcW w:w="1432" w:type="dxa"/>
            <w:vAlign w:val="center"/>
          </w:tcPr>
          <w:p>
            <w:pPr>
              <w:widowControl/>
              <w:ind w:right="31680" w:rightChars="167"/>
              <w:jc w:val="right"/>
              <w:rPr>
                <w:rFonts w:ascii="宋体" w:cs="Times New Roman"/>
                <w:kern w:val="0"/>
              </w:rPr>
            </w:pPr>
            <w:r>
              <w:rPr>
                <w:rFonts w:ascii="宋体" w:hAnsi="宋体" w:cs="宋体"/>
                <w:kern w:val="0"/>
              </w:rPr>
              <w:t>1</w:t>
            </w:r>
          </w:p>
        </w:tc>
        <w:tc>
          <w:tcPr>
            <w:tcW w:w="1205" w:type="dxa"/>
            <w:vAlign w:val="center"/>
          </w:tcPr>
          <w:p>
            <w:pPr>
              <w:widowControl/>
              <w:ind w:right="31680" w:rightChars="54"/>
              <w:jc w:val="right"/>
              <w:rPr>
                <w:rFonts w:ascii="宋体" w:cs="宋体"/>
                <w:kern w:val="0"/>
              </w:rPr>
            </w:pPr>
            <w:r>
              <w:rPr>
                <w:rFonts w:ascii="宋体" w:hAnsi="宋体" w:cs="宋体"/>
                <w:kern w:val="0"/>
              </w:rPr>
              <w:t>21</w:t>
            </w:r>
            <w:r>
              <w:rPr>
                <w:rFonts w:ascii="宋体" w:cs="宋体"/>
                <w:kern w:val="0"/>
              </w:rPr>
              <w:t>000</w:t>
            </w:r>
          </w:p>
        </w:tc>
        <w:tc>
          <w:tcPr>
            <w:tcW w:w="1356" w:type="dxa"/>
            <w:vAlign w:val="center"/>
          </w:tcPr>
          <w:p>
            <w:pPr>
              <w:ind w:right="31680" w:rightChars="54"/>
              <w:jc w:val="right"/>
              <w:rPr>
                <w:rFonts w:ascii="宋体" w:cs="Times New Roman"/>
                <w:kern w:val="0"/>
              </w:rPr>
            </w:pPr>
            <w:r>
              <w:rPr>
                <w:rFonts w:ascii="宋体" w:hAnsi="宋体" w:cs="宋体"/>
                <w:kern w:val="0"/>
              </w:rPr>
              <w:t>18.94%</w:t>
            </w:r>
          </w:p>
        </w:tc>
        <w:tc>
          <w:tcPr>
            <w:tcW w:w="3785" w:type="dxa"/>
            <w:vAlign w:val="center"/>
          </w:tcPr>
          <w:p>
            <w:pPr>
              <w:widowControl/>
              <w:rPr>
                <w:rFonts w:ascii="宋体" w:cs="Times New Roman"/>
                <w:kern w:val="0"/>
              </w:rPr>
            </w:pPr>
            <w:r>
              <w:rPr>
                <w:rFonts w:hint="eastAsia" w:ascii="宋体" w:hAnsi="宋体" w:cs="宋体"/>
                <w:kern w:val="0"/>
              </w:rPr>
              <w:t>独居石</w:t>
            </w:r>
          </w:p>
        </w:tc>
      </w:tr>
      <w:tr>
        <w:tc>
          <w:tcPr>
            <w:tcW w:w="1508" w:type="dxa"/>
            <w:vAlign w:val="center"/>
          </w:tcPr>
          <w:p>
            <w:pPr>
              <w:rPr>
                <w:rFonts w:ascii="宋体" w:cs="Times New Roman"/>
                <w:kern w:val="0"/>
              </w:rPr>
            </w:pPr>
            <w:r>
              <w:rPr>
                <w:rFonts w:hint="eastAsia" w:ascii="宋体" w:hAnsi="宋体" w:cs="宋体"/>
                <w:kern w:val="0"/>
              </w:rPr>
              <w:t>缅甸</w:t>
            </w:r>
          </w:p>
        </w:tc>
        <w:tc>
          <w:tcPr>
            <w:tcW w:w="1432" w:type="dxa"/>
            <w:vAlign w:val="center"/>
          </w:tcPr>
          <w:p>
            <w:pPr>
              <w:widowControl/>
              <w:ind w:right="31680" w:rightChars="167"/>
              <w:jc w:val="right"/>
              <w:rPr>
                <w:rFonts w:ascii="宋体" w:cs="Times New Roman"/>
                <w:kern w:val="0"/>
              </w:rPr>
            </w:pPr>
            <w:r>
              <w:rPr>
                <w:rFonts w:ascii="宋体" w:hAnsi="宋体" w:cs="宋体"/>
                <w:kern w:val="0"/>
              </w:rPr>
              <w:t>30</w:t>
            </w:r>
          </w:p>
        </w:tc>
        <w:tc>
          <w:tcPr>
            <w:tcW w:w="1205" w:type="dxa"/>
            <w:vAlign w:val="center"/>
          </w:tcPr>
          <w:p>
            <w:pPr>
              <w:widowControl/>
              <w:ind w:right="31680" w:rightChars="54"/>
              <w:jc w:val="right"/>
              <w:rPr>
                <w:rFonts w:ascii="宋体" w:cs="Times New Roman"/>
                <w:kern w:val="0"/>
              </w:rPr>
            </w:pPr>
            <w:r>
              <w:rPr>
                <w:rFonts w:ascii="宋体" w:hAnsi="宋体" w:cs="宋体"/>
                <w:kern w:val="0"/>
              </w:rPr>
              <w:t>NA</w:t>
            </w:r>
          </w:p>
        </w:tc>
        <w:tc>
          <w:tcPr>
            <w:tcW w:w="1356" w:type="dxa"/>
            <w:vAlign w:val="center"/>
          </w:tcPr>
          <w:p>
            <w:pPr>
              <w:ind w:right="31680" w:rightChars="54"/>
              <w:jc w:val="right"/>
              <w:rPr>
                <w:rFonts w:ascii="宋体" w:cs="Times New Roman"/>
                <w:kern w:val="0"/>
              </w:rPr>
            </w:pPr>
            <w:r>
              <w:rPr>
                <w:rFonts w:ascii="宋体" w:hAnsi="宋体" w:cs="宋体"/>
                <w:kern w:val="0"/>
              </w:rPr>
              <w:t>NA</w:t>
            </w:r>
          </w:p>
        </w:tc>
        <w:tc>
          <w:tcPr>
            <w:tcW w:w="3785" w:type="dxa"/>
            <w:vAlign w:val="center"/>
          </w:tcPr>
          <w:p>
            <w:pPr>
              <w:widowControl/>
              <w:rPr>
                <w:rFonts w:ascii="宋体" w:cs="Times New Roman"/>
                <w:kern w:val="0"/>
              </w:rPr>
            </w:pPr>
            <w:r>
              <w:rPr>
                <w:rFonts w:ascii="宋体" w:hAnsi="宋体" w:cs="宋体"/>
                <w:kern w:val="0"/>
              </w:rPr>
              <w:t>NA</w:t>
            </w:r>
          </w:p>
        </w:tc>
      </w:tr>
      <w:tr>
        <w:tc>
          <w:tcPr>
            <w:tcW w:w="1508" w:type="dxa"/>
            <w:vAlign w:val="center"/>
          </w:tcPr>
          <w:p>
            <w:pPr>
              <w:rPr>
                <w:rFonts w:ascii="宋体" w:cs="Times New Roman"/>
                <w:kern w:val="0"/>
              </w:rPr>
            </w:pPr>
            <w:r>
              <w:rPr>
                <w:rFonts w:hint="eastAsia" w:ascii="宋体" w:hAnsi="宋体" w:cs="宋体"/>
                <w:kern w:val="0"/>
              </w:rPr>
              <w:t>布隆迪</w:t>
            </w:r>
          </w:p>
        </w:tc>
        <w:tc>
          <w:tcPr>
            <w:tcW w:w="1432" w:type="dxa"/>
            <w:vAlign w:val="center"/>
          </w:tcPr>
          <w:p>
            <w:pPr>
              <w:widowControl/>
              <w:ind w:right="31680" w:rightChars="167"/>
              <w:jc w:val="right"/>
              <w:rPr>
                <w:rFonts w:ascii="宋体" w:cs="Times New Roman"/>
                <w:kern w:val="0"/>
              </w:rPr>
            </w:pPr>
            <w:r>
              <w:rPr>
                <w:rFonts w:ascii="宋体" w:hAnsi="宋体" w:cs="宋体"/>
                <w:kern w:val="0"/>
              </w:rPr>
              <w:t>0.5</w:t>
            </w:r>
          </w:p>
        </w:tc>
        <w:tc>
          <w:tcPr>
            <w:tcW w:w="1205" w:type="dxa"/>
            <w:vAlign w:val="center"/>
          </w:tcPr>
          <w:p>
            <w:pPr>
              <w:widowControl/>
              <w:ind w:right="31680" w:rightChars="54"/>
              <w:jc w:val="right"/>
              <w:rPr>
                <w:rFonts w:ascii="宋体" w:cs="Times New Roman"/>
                <w:kern w:val="0"/>
              </w:rPr>
            </w:pPr>
            <w:r>
              <w:rPr>
                <w:rFonts w:ascii="宋体" w:hAnsi="宋体" w:cs="宋体"/>
                <w:kern w:val="0"/>
              </w:rPr>
              <w:t>NA</w:t>
            </w:r>
          </w:p>
        </w:tc>
        <w:tc>
          <w:tcPr>
            <w:tcW w:w="1356" w:type="dxa"/>
            <w:vAlign w:val="center"/>
          </w:tcPr>
          <w:p>
            <w:pPr>
              <w:ind w:right="31680" w:rightChars="54"/>
              <w:jc w:val="right"/>
              <w:rPr>
                <w:rFonts w:ascii="宋体" w:cs="Times New Roman"/>
                <w:kern w:val="0"/>
              </w:rPr>
            </w:pPr>
            <w:r>
              <w:rPr>
                <w:rFonts w:ascii="宋体" w:hAnsi="宋体" w:cs="宋体"/>
                <w:kern w:val="0"/>
              </w:rPr>
              <w:t>NA</w:t>
            </w:r>
          </w:p>
        </w:tc>
        <w:tc>
          <w:tcPr>
            <w:tcW w:w="3785" w:type="dxa"/>
            <w:vAlign w:val="center"/>
          </w:tcPr>
          <w:p>
            <w:pPr>
              <w:widowControl/>
              <w:rPr>
                <w:rFonts w:ascii="宋体" w:cs="Times New Roman"/>
                <w:kern w:val="0"/>
              </w:rPr>
            </w:pPr>
            <w:r>
              <w:rPr>
                <w:rFonts w:ascii="宋体" w:hAnsi="宋体" w:cs="宋体"/>
                <w:kern w:val="0"/>
              </w:rPr>
              <w:t>NA</w:t>
            </w:r>
          </w:p>
        </w:tc>
      </w:tr>
      <w:tr>
        <w:tc>
          <w:tcPr>
            <w:tcW w:w="1508" w:type="dxa"/>
            <w:vAlign w:val="center"/>
          </w:tcPr>
          <w:p>
            <w:pPr>
              <w:rPr>
                <w:rFonts w:ascii="宋体" w:cs="Times New Roman"/>
                <w:kern w:val="0"/>
              </w:rPr>
            </w:pPr>
            <w:r>
              <w:rPr>
                <w:rFonts w:hint="eastAsia" w:ascii="宋体" w:hAnsi="宋体" w:cs="宋体"/>
                <w:kern w:val="0"/>
              </w:rPr>
              <w:t>加拿大</w:t>
            </w:r>
          </w:p>
        </w:tc>
        <w:tc>
          <w:tcPr>
            <w:tcW w:w="1432" w:type="dxa"/>
            <w:vAlign w:val="center"/>
          </w:tcPr>
          <w:p>
            <w:pPr>
              <w:widowControl/>
              <w:ind w:right="31680" w:rightChars="167"/>
              <w:jc w:val="right"/>
              <w:rPr>
                <w:rFonts w:ascii="宋体" w:cs="Times New Roman"/>
                <w:kern w:val="0"/>
              </w:rPr>
            </w:pPr>
            <w:r>
              <w:rPr>
                <w:rFonts w:ascii="宋体" w:hAnsi="宋体" w:cs="宋体"/>
                <w:kern w:val="0"/>
              </w:rPr>
              <w:t>——</w:t>
            </w:r>
          </w:p>
        </w:tc>
        <w:tc>
          <w:tcPr>
            <w:tcW w:w="1205" w:type="dxa"/>
            <w:vAlign w:val="center"/>
          </w:tcPr>
          <w:p>
            <w:pPr>
              <w:widowControl/>
              <w:ind w:right="31680" w:rightChars="54"/>
              <w:jc w:val="right"/>
              <w:rPr>
                <w:rFonts w:ascii="宋体" w:cs="Times New Roman"/>
                <w:kern w:val="0"/>
              </w:rPr>
            </w:pPr>
            <w:r>
              <w:rPr>
                <w:rFonts w:ascii="宋体" w:hAnsi="宋体" w:cs="宋体"/>
                <w:kern w:val="0"/>
              </w:rPr>
              <w:t>830</w:t>
            </w:r>
          </w:p>
        </w:tc>
        <w:tc>
          <w:tcPr>
            <w:tcW w:w="1356" w:type="dxa"/>
            <w:vAlign w:val="center"/>
          </w:tcPr>
          <w:p>
            <w:pPr>
              <w:ind w:right="31680" w:rightChars="54"/>
              <w:jc w:val="right"/>
              <w:rPr>
                <w:rFonts w:ascii="宋体" w:cs="Times New Roman"/>
                <w:kern w:val="0"/>
              </w:rPr>
            </w:pPr>
          </w:p>
        </w:tc>
        <w:tc>
          <w:tcPr>
            <w:tcW w:w="3785" w:type="dxa"/>
            <w:vAlign w:val="center"/>
          </w:tcPr>
          <w:p>
            <w:pPr>
              <w:widowControl/>
              <w:rPr>
                <w:rFonts w:ascii="宋体" w:cs="Times New Roman"/>
                <w:kern w:val="0"/>
              </w:rPr>
            </w:pPr>
          </w:p>
        </w:tc>
      </w:tr>
      <w:tr>
        <w:tc>
          <w:tcPr>
            <w:tcW w:w="1508" w:type="dxa"/>
            <w:vAlign w:val="center"/>
          </w:tcPr>
          <w:p>
            <w:pPr>
              <w:rPr>
                <w:rFonts w:ascii="宋体" w:cs="Times New Roman"/>
                <w:kern w:val="0"/>
              </w:rPr>
            </w:pPr>
            <w:r>
              <w:rPr>
                <w:rFonts w:hint="eastAsia" w:ascii="宋体" w:hAnsi="宋体" w:cs="宋体"/>
                <w:kern w:val="0"/>
              </w:rPr>
              <w:t>中国</w:t>
            </w:r>
          </w:p>
        </w:tc>
        <w:tc>
          <w:tcPr>
            <w:tcW w:w="1432" w:type="dxa"/>
            <w:vAlign w:val="center"/>
          </w:tcPr>
          <w:p>
            <w:pPr>
              <w:widowControl/>
              <w:ind w:right="31680" w:rightChars="167"/>
              <w:jc w:val="right"/>
              <w:rPr>
                <w:rFonts w:ascii="宋体" w:cs="宋体"/>
                <w:kern w:val="0"/>
              </w:rPr>
            </w:pPr>
            <w:r>
              <w:rPr>
                <w:rFonts w:ascii="宋体" w:hAnsi="宋体" w:cs="宋体"/>
                <w:kern w:val="0"/>
              </w:rPr>
              <w:t>14</w:t>
            </w:r>
            <w:r>
              <w:rPr>
                <w:rFonts w:ascii="宋体" w:cs="宋体"/>
                <w:kern w:val="0"/>
              </w:rPr>
              <w:t>0</w:t>
            </w:r>
          </w:p>
        </w:tc>
        <w:tc>
          <w:tcPr>
            <w:tcW w:w="1205" w:type="dxa"/>
            <w:vAlign w:val="center"/>
          </w:tcPr>
          <w:p>
            <w:pPr>
              <w:widowControl/>
              <w:ind w:right="31680" w:rightChars="54"/>
              <w:jc w:val="right"/>
              <w:rPr>
                <w:rFonts w:ascii="宋体" w:cs="Times New Roman"/>
                <w:kern w:val="0"/>
              </w:rPr>
            </w:pPr>
            <w:r>
              <w:rPr>
                <w:rFonts w:ascii="宋体" w:hAnsi="宋体" w:cs="宋体"/>
                <w:kern w:val="0"/>
              </w:rPr>
              <w:t>44000</w:t>
            </w:r>
          </w:p>
        </w:tc>
        <w:tc>
          <w:tcPr>
            <w:tcW w:w="1356" w:type="dxa"/>
            <w:vAlign w:val="center"/>
          </w:tcPr>
          <w:p>
            <w:pPr>
              <w:ind w:right="31680" w:rightChars="54"/>
              <w:jc w:val="right"/>
              <w:rPr>
                <w:rFonts w:ascii="宋体" w:cs="Times New Roman"/>
                <w:kern w:val="0"/>
              </w:rPr>
            </w:pPr>
            <w:r>
              <w:rPr>
                <w:rFonts w:ascii="宋体" w:hAnsi="宋体" w:cs="宋体"/>
                <w:kern w:val="0"/>
              </w:rPr>
              <w:t>37.89%</w:t>
            </w:r>
          </w:p>
        </w:tc>
        <w:tc>
          <w:tcPr>
            <w:tcW w:w="3785" w:type="dxa"/>
            <w:vAlign w:val="center"/>
          </w:tcPr>
          <w:p>
            <w:pPr>
              <w:widowControl/>
              <w:rPr>
                <w:rFonts w:ascii="宋体" w:cs="Times New Roman"/>
                <w:kern w:val="0"/>
              </w:rPr>
            </w:pPr>
            <w:r>
              <w:rPr>
                <w:rFonts w:hint="eastAsia" w:ascii="宋体" w:hAnsi="宋体" w:cs="宋体"/>
                <w:kern w:val="0"/>
              </w:rPr>
              <w:t>氟碳铈矿、独居石、离子吸附型稀土矿</w:t>
            </w:r>
          </w:p>
        </w:tc>
      </w:tr>
      <w:tr>
        <w:tc>
          <w:tcPr>
            <w:tcW w:w="1508" w:type="dxa"/>
            <w:vAlign w:val="center"/>
          </w:tcPr>
          <w:p>
            <w:pPr>
              <w:rPr>
                <w:rFonts w:ascii="宋体" w:cs="Times New Roman"/>
                <w:kern w:val="0"/>
              </w:rPr>
            </w:pPr>
            <w:r>
              <w:rPr>
                <w:rFonts w:hint="eastAsia" w:ascii="宋体" w:hAnsi="宋体" w:cs="宋体"/>
                <w:kern w:val="0"/>
              </w:rPr>
              <w:t>格陵兰</w:t>
            </w:r>
          </w:p>
        </w:tc>
        <w:tc>
          <w:tcPr>
            <w:tcW w:w="1432" w:type="dxa"/>
            <w:vAlign w:val="center"/>
          </w:tcPr>
          <w:p>
            <w:pPr>
              <w:widowControl/>
              <w:ind w:right="31680" w:rightChars="167"/>
              <w:jc w:val="right"/>
              <w:rPr>
                <w:rFonts w:ascii="宋体" w:cs="Times New Roman"/>
                <w:kern w:val="0"/>
              </w:rPr>
            </w:pPr>
            <w:r>
              <w:rPr>
                <w:rFonts w:ascii="宋体" w:hAnsi="宋体" w:cs="宋体"/>
                <w:kern w:val="0"/>
              </w:rPr>
              <w:t>——</w:t>
            </w:r>
          </w:p>
        </w:tc>
        <w:tc>
          <w:tcPr>
            <w:tcW w:w="1205" w:type="dxa"/>
            <w:vAlign w:val="center"/>
          </w:tcPr>
          <w:p>
            <w:pPr>
              <w:widowControl/>
              <w:ind w:right="31680" w:rightChars="54"/>
              <w:jc w:val="right"/>
              <w:rPr>
                <w:rFonts w:ascii="宋体" w:cs="Times New Roman"/>
                <w:kern w:val="0"/>
              </w:rPr>
            </w:pPr>
            <w:r>
              <w:rPr>
                <w:rFonts w:ascii="宋体" w:hAnsi="宋体" w:cs="宋体"/>
                <w:kern w:val="0"/>
              </w:rPr>
              <w:t>1500</w:t>
            </w:r>
          </w:p>
        </w:tc>
        <w:tc>
          <w:tcPr>
            <w:tcW w:w="1356" w:type="dxa"/>
            <w:vAlign w:val="center"/>
          </w:tcPr>
          <w:p>
            <w:pPr>
              <w:ind w:right="31680" w:rightChars="54"/>
              <w:jc w:val="right"/>
              <w:rPr>
                <w:rFonts w:ascii="宋体" w:cs="Times New Roman"/>
                <w:kern w:val="0"/>
              </w:rPr>
            </w:pPr>
          </w:p>
        </w:tc>
        <w:tc>
          <w:tcPr>
            <w:tcW w:w="3785" w:type="dxa"/>
            <w:vAlign w:val="center"/>
          </w:tcPr>
          <w:p>
            <w:pPr>
              <w:widowControl/>
              <w:rPr>
                <w:rFonts w:ascii="宋体" w:cs="Times New Roman"/>
                <w:kern w:val="0"/>
              </w:rPr>
            </w:pPr>
          </w:p>
        </w:tc>
      </w:tr>
      <w:tr>
        <w:tc>
          <w:tcPr>
            <w:tcW w:w="1508" w:type="dxa"/>
            <w:vAlign w:val="center"/>
          </w:tcPr>
          <w:p>
            <w:pPr>
              <w:rPr>
                <w:rFonts w:ascii="宋体" w:cs="Times New Roman"/>
                <w:kern w:val="0"/>
              </w:rPr>
            </w:pPr>
            <w:r>
              <w:rPr>
                <w:rFonts w:hint="eastAsia" w:ascii="宋体" w:hAnsi="宋体" w:cs="宋体"/>
                <w:kern w:val="0"/>
              </w:rPr>
              <w:t>印度</w:t>
            </w:r>
          </w:p>
        </w:tc>
        <w:tc>
          <w:tcPr>
            <w:tcW w:w="1432" w:type="dxa"/>
            <w:vAlign w:val="center"/>
          </w:tcPr>
          <w:p>
            <w:pPr>
              <w:widowControl/>
              <w:ind w:right="31680" w:rightChars="167"/>
              <w:jc w:val="right"/>
              <w:rPr>
                <w:rFonts w:ascii="宋体" w:cs="Times New Roman"/>
                <w:kern w:val="0"/>
              </w:rPr>
            </w:pPr>
            <w:r>
              <w:rPr>
                <w:rFonts w:ascii="宋体" w:hAnsi="宋体" w:cs="宋体"/>
                <w:kern w:val="0"/>
              </w:rPr>
              <w:t>3</w:t>
            </w:r>
          </w:p>
        </w:tc>
        <w:tc>
          <w:tcPr>
            <w:tcW w:w="1205" w:type="dxa"/>
            <w:vAlign w:val="center"/>
          </w:tcPr>
          <w:p>
            <w:pPr>
              <w:widowControl/>
              <w:ind w:right="31680" w:rightChars="54"/>
              <w:jc w:val="right"/>
              <w:rPr>
                <w:rFonts w:ascii="宋体" w:cs="Times New Roman"/>
                <w:kern w:val="0"/>
              </w:rPr>
            </w:pPr>
            <w:r>
              <w:rPr>
                <w:rFonts w:ascii="宋体" w:hAnsi="宋体" w:cs="宋体"/>
                <w:kern w:val="0"/>
              </w:rPr>
              <w:t>6900</w:t>
            </w:r>
          </w:p>
        </w:tc>
        <w:tc>
          <w:tcPr>
            <w:tcW w:w="1356" w:type="dxa"/>
            <w:vAlign w:val="center"/>
          </w:tcPr>
          <w:p>
            <w:pPr>
              <w:ind w:right="31680" w:rightChars="54"/>
              <w:jc w:val="right"/>
              <w:rPr>
                <w:rFonts w:ascii="宋体" w:cs="Times New Roman"/>
                <w:kern w:val="0"/>
              </w:rPr>
            </w:pPr>
            <w:r>
              <w:rPr>
                <w:rFonts w:ascii="宋体" w:hAnsi="宋体" w:cs="宋体"/>
                <w:kern w:val="0"/>
              </w:rPr>
              <w:t>5.94%</w:t>
            </w:r>
          </w:p>
        </w:tc>
        <w:tc>
          <w:tcPr>
            <w:tcW w:w="3785" w:type="dxa"/>
            <w:vAlign w:val="center"/>
          </w:tcPr>
          <w:p>
            <w:pPr>
              <w:widowControl/>
              <w:rPr>
                <w:rFonts w:ascii="宋体" w:cs="Times New Roman"/>
                <w:kern w:val="0"/>
              </w:rPr>
            </w:pPr>
            <w:r>
              <w:rPr>
                <w:rFonts w:hint="eastAsia" w:ascii="宋体" w:hAnsi="宋体" w:cs="宋体"/>
                <w:kern w:val="0"/>
              </w:rPr>
              <w:t>独居石</w:t>
            </w:r>
          </w:p>
        </w:tc>
      </w:tr>
      <w:tr>
        <w:tc>
          <w:tcPr>
            <w:tcW w:w="1508" w:type="dxa"/>
            <w:vAlign w:val="center"/>
          </w:tcPr>
          <w:p>
            <w:pPr>
              <w:rPr>
                <w:rFonts w:ascii="宋体" w:cs="Times New Roman"/>
                <w:kern w:val="0"/>
              </w:rPr>
            </w:pPr>
            <w:r>
              <w:rPr>
                <w:rFonts w:hint="eastAsia" w:ascii="宋体" w:hAnsi="宋体" w:cs="宋体"/>
                <w:kern w:val="0"/>
              </w:rPr>
              <w:t>马达加斯加</w:t>
            </w:r>
          </w:p>
        </w:tc>
        <w:tc>
          <w:tcPr>
            <w:tcW w:w="1432" w:type="dxa"/>
            <w:vAlign w:val="center"/>
          </w:tcPr>
          <w:p>
            <w:pPr>
              <w:widowControl/>
              <w:ind w:right="31680" w:rightChars="167"/>
              <w:jc w:val="right"/>
              <w:rPr>
                <w:rFonts w:ascii="宋体" w:cs="Times New Roman"/>
                <w:kern w:val="0"/>
              </w:rPr>
            </w:pPr>
            <w:r>
              <w:rPr>
                <w:rFonts w:ascii="宋体" w:hAnsi="宋体" w:cs="宋体"/>
                <w:kern w:val="0"/>
              </w:rPr>
              <w:t>8</w:t>
            </w:r>
          </w:p>
        </w:tc>
        <w:tc>
          <w:tcPr>
            <w:tcW w:w="1205" w:type="dxa"/>
            <w:vAlign w:val="center"/>
          </w:tcPr>
          <w:p>
            <w:pPr>
              <w:widowControl/>
              <w:ind w:right="31680" w:rightChars="54"/>
              <w:jc w:val="right"/>
              <w:rPr>
                <w:rFonts w:ascii="宋体" w:cs="Times New Roman"/>
                <w:kern w:val="0"/>
              </w:rPr>
            </w:pPr>
            <w:r>
              <w:rPr>
                <w:rFonts w:ascii="宋体" w:hAnsi="宋体" w:cs="宋体"/>
                <w:kern w:val="0"/>
              </w:rPr>
              <w:t>NA</w:t>
            </w:r>
          </w:p>
        </w:tc>
        <w:tc>
          <w:tcPr>
            <w:tcW w:w="1356" w:type="dxa"/>
            <w:vAlign w:val="center"/>
          </w:tcPr>
          <w:p>
            <w:pPr>
              <w:ind w:right="31680" w:rightChars="54"/>
              <w:jc w:val="right"/>
              <w:rPr>
                <w:rFonts w:ascii="宋体" w:cs="Times New Roman"/>
                <w:kern w:val="0"/>
              </w:rPr>
            </w:pPr>
            <w:r>
              <w:rPr>
                <w:rFonts w:ascii="宋体" w:hAnsi="宋体" w:cs="宋体"/>
                <w:kern w:val="0"/>
              </w:rPr>
              <w:t>0.03%</w:t>
            </w:r>
          </w:p>
        </w:tc>
        <w:tc>
          <w:tcPr>
            <w:tcW w:w="3785" w:type="dxa"/>
            <w:vAlign w:val="center"/>
          </w:tcPr>
          <w:p>
            <w:pPr>
              <w:widowControl/>
              <w:rPr>
                <w:rFonts w:ascii="宋体" w:cs="Times New Roman"/>
                <w:kern w:val="0"/>
              </w:rPr>
            </w:pPr>
            <w:r>
              <w:rPr>
                <w:rFonts w:hint="eastAsia" w:ascii="宋体" w:hAnsi="宋体" w:cs="宋体"/>
                <w:kern w:val="0"/>
              </w:rPr>
              <w:t>锡矿</w:t>
            </w:r>
          </w:p>
        </w:tc>
      </w:tr>
      <w:tr>
        <w:tc>
          <w:tcPr>
            <w:tcW w:w="1508" w:type="dxa"/>
            <w:vAlign w:val="center"/>
          </w:tcPr>
          <w:p>
            <w:pPr>
              <w:rPr>
                <w:rFonts w:ascii="宋体" w:cs="Times New Roman"/>
                <w:kern w:val="0"/>
              </w:rPr>
            </w:pPr>
            <w:r>
              <w:rPr>
                <w:rFonts w:hint="eastAsia" w:ascii="宋体" w:hAnsi="宋体" w:cs="宋体"/>
                <w:kern w:val="0"/>
              </w:rPr>
              <w:t>俄罗斯</w:t>
            </w:r>
          </w:p>
        </w:tc>
        <w:tc>
          <w:tcPr>
            <w:tcW w:w="1432" w:type="dxa"/>
            <w:vAlign w:val="center"/>
          </w:tcPr>
          <w:p>
            <w:pPr>
              <w:widowControl/>
              <w:ind w:right="31680" w:rightChars="167"/>
              <w:jc w:val="right"/>
              <w:rPr>
                <w:rFonts w:ascii="宋体" w:cs="Times New Roman"/>
                <w:kern w:val="0"/>
              </w:rPr>
            </w:pPr>
            <w:r>
              <w:rPr>
                <w:rFonts w:ascii="宋体" w:hAnsi="宋体" w:cs="宋体"/>
                <w:kern w:val="0"/>
              </w:rPr>
              <w:t>2.7</w:t>
            </w:r>
          </w:p>
        </w:tc>
        <w:tc>
          <w:tcPr>
            <w:tcW w:w="1205" w:type="dxa"/>
            <w:vAlign w:val="center"/>
          </w:tcPr>
          <w:p>
            <w:pPr>
              <w:widowControl/>
              <w:ind w:right="31680" w:rightChars="54"/>
              <w:jc w:val="right"/>
              <w:rPr>
                <w:rFonts w:ascii="宋体" w:cs="Times New Roman"/>
                <w:kern w:val="0"/>
              </w:rPr>
            </w:pPr>
            <w:r>
              <w:rPr>
                <w:rFonts w:ascii="宋体" w:hAnsi="宋体" w:cs="宋体"/>
                <w:kern w:val="0"/>
              </w:rPr>
              <w:t>12000</w:t>
            </w:r>
          </w:p>
        </w:tc>
        <w:tc>
          <w:tcPr>
            <w:tcW w:w="1356" w:type="dxa"/>
            <w:vAlign w:val="center"/>
          </w:tcPr>
          <w:p>
            <w:pPr>
              <w:ind w:right="31680" w:rightChars="54"/>
              <w:jc w:val="right"/>
              <w:rPr>
                <w:rFonts w:ascii="宋体" w:cs="Times New Roman"/>
                <w:kern w:val="0"/>
              </w:rPr>
            </w:pPr>
            <w:r>
              <w:rPr>
                <w:rFonts w:ascii="宋体" w:hAnsi="宋体" w:cs="宋体"/>
                <w:kern w:val="0"/>
              </w:rPr>
              <w:t>10.33%</w:t>
            </w:r>
          </w:p>
        </w:tc>
        <w:tc>
          <w:tcPr>
            <w:tcW w:w="3785" w:type="dxa"/>
            <w:vAlign w:val="center"/>
          </w:tcPr>
          <w:p>
            <w:pPr>
              <w:widowControl/>
              <w:rPr>
                <w:rFonts w:ascii="宋体" w:cs="Times New Roman"/>
                <w:kern w:val="0"/>
              </w:rPr>
            </w:pPr>
            <w:r>
              <w:rPr>
                <w:rFonts w:hint="eastAsia" w:ascii="宋体" w:hAnsi="宋体" w:cs="宋体"/>
                <w:kern w:val="0"/>
              </w:rPr>
              <w:t>铈铌钙钛矿、磷灰石及氟碳酸盐</w:t>
            </w:r>
          </w:p>
        </w:tc>
      </w:tr>
      <w:tr>
        <w:tc>
          <w:tcPr>
            <w:tcW w:w="1508" w:type="dxa"/>
            <w:vAlign w:val="center"/>
          </w:tcPr>
          <w:p>
            <w:pPr>
              <w:rPr>
                <w:rFonts w:ascii="宋体" w:cs="Times New Roman"/>
                <w:kern w:val="0"/>
              </w:rPr>
            </w:pPr>
            <w:r>
              <w:rPr>
                <w:rFonts w:hint="eastAsia" w:ascii="宋体" w:hAnsi="宋体" w:cs="宋体"/>
                <w:kern w:val="0"/>
              </w:rPr>
              <w:t>南非</w:t>
            </w:r>
          </w:p>
        </w:tc>
        <w:tc>
          <w:tcPr>
            <w:tcW w:w="1432" w:type="dxa"/>
            <w:vAlign w:val="center"/>
          </w:tcPr>
          <w:p>
            <w:pPr>
              <w:widowControl/>
              <w:ind w:right="31680" w:rightChars="167"/>
              <w:jc w:val="right"/>
              <w:rPr>
                <w:rFonts w:ascii="宋体" w:cs="Times New Roman"/>
                <w:kern w:val="0"/>
              </w:rPr>
            </w:pPr>
            <w:r>
              <w:rPr>
                <w:rFonts w:ascii="宋体" w:hAnsi="宋体" w:cs="宋体"/>
                <w:kern w:val="0"/>
              </w:rPr>
              <w:t>——</w:t>
            </w:r>
          </w:p>
        </w:tc>
        <w:tc>
          <w:tcPr>
            <w:tcW w:w="1205" w:type="dxa"/>
            <w:vAlign w:val="center"/>
          </w:tcPr>
          <w:p>
            <w:pPr>
              <w:widowControl/>
              <w:ind w:right="31680" w:rightChars="54"/>
              <w:jc w:val="right"/>
              <w:rPr>
                <w:rFonts w:ascii="宋体" w:cs="Times New Roman"/>
                <w:kern w:val="0"/>
              </w:rPr>
            </w:pPr>
            <w:r>
              <w:rPr>
                <w:rFonts w:ascii="宋体" w:hAnsi="宋体" w:cs="宋体"/>
                <w:kern w:val="0"/>
              </w:rPr>
              <w:t>790</w:t>
            </w:r>
          </w:p>
        </w:tc>
        <w:tc>
          <w:tcPr>
            <w:tcW w:w="1356" w:type="dxa"/>
            <w:vAlign w:val="center"/>
          </w:tcPr>
          <w:p>
            <w:pPr>
              <w:ind w:right="31680" w:rightChars="54"/>
              <w:jc w:val="right"/>
              <w:rPr>
                <w:rFonts w:ascii="宋体" w:cs="Times New Roman"/>
                <w:kern w:val="0"/>
              </w:rPr>
            </w:pPr>
          </w:p>
        </w:tc>
        <w:tc>
          <w:tcPr>
            <w:tcW w:w="3785" w:type="dxa"/>
            <w:vAlign w:val="center"/>
          </w:tcPr>
          <w:p>
            <w:pPr>
              <w:widowControl/>
              <w:rPr>
                <w:rFonts w:ascii="宋体" w:cs="Times New Roman"/>
                <w:kern w:val="0"/>
              </w:rPr>
            </w:pPr>
          </w:p>
        </w:tc>
      </w:tr>
      <w:tr>
        <w:tc>
          <w:tcPr>
            <w:tcW w:w="1508" w:type="dxa"/>
            <w:vAlign w:val="center"/>
          </w:tcPr>
          <w:p>
            <w:pPr>
              <w:rPr>
                <w:rFonts w:ascii="宋体" w:cs="Times New Roman"/>
                <w:kern w:val="0"/>
              </w:rPr>
            </w:pPr>
            <w:r>
              <w:rPr>
                <w:rFonts w:hint="eastAsia" w:ascii="宋体" w:hAnsi="宋体" w:cs="宋体"/>
                <w:kern w:val="0"/>
              </w:rPr>
              <w:t>坦桑尼亚</w:t>
            </w:r>
          </w:p>
        </w:tc>
        <w:tc>
          <w:tcPr>
            <w:tcW w:w="1432" w:type="dxa"/>
            <w:vAlign w:val="center"/>
          </w:tcPr>
          <w:p>
            <w:pPr>
              <w:widowControl/>
              <w:ind w:right="31680" w:rightChars="167"/>
              <w:jc w:val="right"/>
              <w:rPr>
                <w:rFonts w:ascii="宋体" w:cs="Times New Roman"/>
                <w:kern w:val="0"/>
              </w:rPr>
            </w:pPr>
            <w:r>
              <w:rPr>
                <w:rFonts w:ascii="宋体" w:hAnsi="宋体" w:cs="宋体"/>
                <w:kern w:val="0"/>
              </w:rPr>
              <w:t>——</w:t>
            </w:r>
          </w:p>
        </w:tc>
        <w:tc>
          <w:tcPr>
            <w:tcW w:w="1205" w:type="dxa"/>
            <w:vAlign w:val="center"/>
          </w:tcPr>
          <w:p>
            <w:pPr>
              <w:widowControl/>
              <w:ind w:right="31680" w:rightChars="54"/>
              <w:jc w:val="right"/>
              <w:rPr>
                <w:rFonts w:ascii="宋体" w:cs="Times New Roman"/>
                <w:kern w:val="0"/>
              </w:rPr>
            </w:pPr>
            <w:r>
              <w:rPr>
                <w:rFonts w:ascii="宋体" w:hAnsi="宋体" w:cs="宋体"/>
                <w:kern w:val="0"/>
              </w:rPr>
              <w:t>890</w:t>
            </w:r>
          </w:p>
        </w:tc>
        <w:tc>
          <w:tcPr>
            <w:tcW w:w="1356" w:type="dxa"/>
            <w:vAlign w:val="center"/>
          </w:tcPr>
          <w:p>
            <w:pPr>
              <w:ind w:right="31680" w:rightChars="54"/>
              <w:jc w:val="right"/>
              <w:rPr>
                <w:rFonts w:ascii="宋体" w:cs="Times New Roman"/>
                <w:kern w:val="0"/>
              </w:rPr>
            </w:pPr>
          </w:p>
        </w:tc>
        <w:tc>
          <w:tcPr>
            <w:tcW w:w="3785" w:type="dxa"/>
            <w:vAlign w:val="center"/>
          </w:tcPr>
          <w:p>
            <w:pPr>
              <w:widowControl/>
              <w:rPr>
                <w:rFonts w:ascii="宋体" w:cs="Times New Roman"/>
                <w:kern w:val="0"/>
              </w:rPr>
            </w:pPr>
          </w:p>
        </w:tc>
      </w:tr>
      <w:tr>
        <w:tc>
          <w:tcPr>
            <w:tcW w:w="1508" w:type="dxa"/>
            <w:vAlign w:val="center"/>
          </w:tcPr>
          <w:p>
            <w:pPr>
              <w:rPr>
                <w:rFonts w:ascii="宋体" w:cs="Times New Roman"/>
                <w:kern w:val="0"/>
              </w:rPr>
            </w:pPr>
            <w:r>
              <w:rPr>
                <w:rFonts w:hint="eastAsia" w:ascii="宋体" w:hAnsi="宋体" w:cs="宋体"/>
                <w:kern w:val="0"/>
              </w:rPr>
              <w:t>泰国</w:t>
            </w:r>
          </w:p>
        </w:tc>
        <w:tc>
          <w:tcPr>
            <w:tcW w:w="1432" w:type="dxa"/>
            <w:vAlign w:val="center"/>
          </w:tcPr>
          <w:p>
            <w:pPr>
              <w:widowControl/>
              <w:ind w:right="31680" w:rightChars="167"/>
              <w:jc w:val="right"/>
              <w:rPr>
                <w:rFonts w:ascii="宋体" w:cs="Times New Roman"/>
                <w:kern w:val="0"/>
              </w:rPr>
            </w:pPr>
            <w:r>
              <w:rPr>
                <w:rFonts w:ascii="宋体" w:hAnsi="宋体" w:cs="宋体"/>
                <w:kern w:val="0"/>
              </w:rPr>
              <w:t>2</w:t>
            </w:r>
          </w:p>
        </w:tc>
        <w:tc>
          <w:tcPr>
            <w:tcW w:w="1205" w:type="dxa"/>
            <w:vAlign w:val="center"/>
          </w:tcPr>
          <w:p>
            <w:pPr>
              <w:widowControl/>
              <w:ind w:right="31680" w:rightChars="54"/>
              <w:jc w:val="right"/>
              <w:rPr>
                <w:rFonts w:ascii="宋体" w:cs="Times New Roman"/>
                <w:kern w:val="0"/>
              </w:rPr>
            </w:pPr>
            <w:r>
              <w:rPr>
                <w:rFonts w:ascii="宋体" w:hAnsi="宋体" w:cs="宋体"/>
                <w:kern w:val="0"/>
              </w:rPr>
              <w:t>NA</w:t>
            </w:r>
          </w:p>
        </w:tc>
        <w:tc>
          <w:tcPr>
            <w:tcW w:w="1356" w:type="dxa"/>
            <w:vAlign w:val="center"/>
          </w:tcPr>
          <w:p>
            <w:pPr>
              <w:ind w:right="31680" w:rightChars="54"/>
              <w:jc w:val="right"/>
              <w:rPr>
                <w:rFonts w:ascii="宋体" w:cs="Times New Roman"/>
                <w:kern w:val="0"/>
              </w:rPr>
            </w:pPr>
            <w:r>
              <w:rPr>
                <w:rFonts w:ascii="宋体" w:hAnsi="宋体" w:cs="宋体"/>
                <w:kern w:val="0"/>
              </w:rPr>
              <w:t>NA</w:t>
            </w:r>
          </w:p>
        </w:tc>
        <w:tc>
          <w:tcPr>
            <w:tcW w:w="3785" w:type="dxa"/>
            <w:vAlign w:val="center"/>
          </w:tcPr>
          <w:p>
            <w:pPr>
              <w:widowControl/>
              <w:rPr>
                <w:rFonts w:ascii="宋体" w:cs="Times New Roman"/>
                <w:kern w:val="0"/>
              </w:rPr>
            </w:pPr>
            <w:r>
              <w:rPr>
                <w:rFonts w:ascii="宋体" w:hAnsi="宋体" w:cs="宋体"/>
                <w:kern w:val="0"/>
              </w:rPr>
              <w:t>NA</w:t>
            </w:r>
          </w:p>
        </w:tc>
      </w:tr>
      <w:tr>
        <w:tc>
          <w:tcPr>
            <w:tcW w:w="1508" w:type="dxa"/>
            <w:vAlign w:val="center"/>
          </w:tcPr>
          <w:p>
            <w:pPr>
              <w:rPr>
                <w:rFonts w:ascii="宋体" w:cs="Times New Roman"/>
                <w:kern w:val="0"/>
              </w:rPr>
            </w:pPr>
            <w:r>
              <w:rPr>
                <w:rFonts w:hint="eastAsia" w:ascii="宋体" w:hAnsi="宋体" w:cs="宋体"/>
                <w:kern w:val="0"/>
              </w:rPr>
              <w:t>越南</w:t>
            </w:r>
          </w:p>
        </w:tc>
        <w:tc>
          <w:tcPr>
            <w:tcW w:w="1432" w:type="dxa"/>
            <w:vAlign w:val="center"/>
          </w:tcPr>
          <w:p>
            <w:pPr>
              <w:widowControl/>
              <w:ind w:right="31680" w:rightChars="167"/>
              <w:jc w:val="right"/>
              <w:rPr>
                <w:rFonts w:ascii="宋体" w:cs="Times New Roman"/>
                <w:kern w:val="0"/>
              </w:rPr>
            </w:pPr>
            <w:r>
              <w:rPr>
                <w:rFonts w:ascii="宋体" w:hAnsi="宋体" w:cs="宋体"/>
                <w:kern w:val="0"/>
              </w:rPr>
              <w:t>1</w:t>
            </w:r>
          </w:p>
        </w:tc>
        <w:tc>
          <w:tcPr>
            <w:tcW w:w="1205" w:type="dxa"/>
            <w:vAlign w:val="center"/>
          </w:tcPr>
          <w:p>
            <w:pPr>
              <w:widowControl/>
              <w:ind w:right="31680" w:rightChars="54"/>
              <w:jc w:val="right"/>
              <w:rPr>
                <w:rFonts w:ascii="宋体" w:cs="Times New Roman"/>
                <w:kern w:val="0"/>
              </w:rPr>
            </w:pPr>
            <w:r>
              <w:rPr>
                <w:rFonts w:ascii="宋体" w:hAnsi="宋体" w:cs="宋体"/>
                <w:kern w:val="0"/>
              </w:rPr>
              <w:t>22000</w:t>
            </w:r>
          </w:p>
        </w:tc>
        <w:tc>
          <w:tcPr>
            <w:tcW w:w="1356" w:type="dxa"/>
            <w:vAlign w:val="center"/>
          </w:tcPr>
          <w:p>
            <w:pPr>
              <w:ind w:right="31680" w:rightChars="54"/>
              <w:jc w:val="right"/>
              <w:rPr>
                <w:rFonts w:ascii="宋体" w:cs="Times New Roman"/>
                <w:kern w:val="0"/>
              </w:rPr>
            </w:pPr>
            <w:r>
              <w:rPr>
                <w:rFonts w:ascii="宋体" w:hAnsi="宋体" w:cs="宋体"/>
                <w:kern w:val="0"/>
              </w:rPr>
              <w:t>18.94%</w:t>
            </w:r>
          </w:p>
        </w:tc>
        <w:tc>
          <w:tcPr>
            <w:tcW w:w="3785" w:type="dxa"/>
            <w:vAlign w:val="center"/>
          </w:tcPr>
          <w:p>
            <w:pPr>
              <w:widowControl/>
              <w:rPr>
                <w:rFonts w:ascii="宋体" w:cs="Times New Roman"/>
                <w:kern w:val="0"/>
              </w:rPr>
            </w:pPr>
            <w:r>
              <w:rPr>
                <w:rFonts w:hint="eastAsia" w:ascii="宋体" w:hAnsi="宋体" w:cs="宋体"/>
                <w:kern w:val="0"/>
              </w:rPr>
              <w:t>碳酸盐稀土矿</w:t>
            </w:r>
          </w:p>
        </w:tc>
      </w:tr>
      <w:tr>
        <w:tc>
          <w:tcPr>
            <w:tcW w:w="1508" w:type="dxa"/>
            <w:vAlign w:val="center"/>
          </w:tcPr>
          <w:p>
            <w:pPr>
              <w:rPr>
                <w:rFonts w:ascii="宋体" w:cs="Times New Roman"/>
                <w:kern w:val="0"/>
              </w:rPr>
            </w:pPr>
            <w:r>
              <w:rPr>
                <w:rFonts w:hint="eastAsia" w:ascii="宋体" w:hAnsi="宋体" w:cs="宋体"/>
                <w:kern w:val="0"/>
              </w:rPr>
              <w:t>其它</w:t>
            </w:r>
          </w:p>
        </w:tc>
        <w:tc>
          <w:tcPr>
            <w:tcW w:w="1432" w:type="dxa"/>
            <w:vAlign w:val="center"/>
          </w:tcPr>
          <w:p>
            <w:pPr>
              <w:widowControl/>
              <w:ind w:right="31680" w:rightChars="167"/>
              <w:jc w:val="right"/>
              <w:rPr>
                <w:rFonts w:ascii="宋体" w:cs="Times New Roman"/>
                <w:kern w:val="0"/>
              </w:rPr>
            </w:pPr>
            <w:r>
              <w:rPr>
                <w:rFonts w:ascii="宋体" w:hAnsi="宋体" w:cs="宋体"/>
                <w:kern w:val="0"/>
              </w:rPr>
              <w:t>0.1</w:t>
            </w:r>
          </w:p>
        </w:tc>
        <w:tc>
          <w:tcPr>
            <w:tcW w:w="1205" w:type="dxa"/>
            <w:vAlign w:val="center"/>
          </w:tcPr>
          <w:p>
            <w:pPr>
              <w:widowControl/>
              <w:ind w:right="31680" w:rightChars="54"/>
              <w:jc w:val="right"/>
              <w:rPr>
                <w:rFonts w:ascii="宋体" w:cs="Times New Roman"/>
                <w:kern w:val="0"/>
              </w:rPr>
            </w:pPr>
            <w:r>
              <w:rPr>
                <w:rFonts w:ascii="宋体" w:hAnsi="宋体" w:cs="宋体"/>
                <w:kern w:val="0"/>
              </w:rPr>
              <w:t>310</w:t>
            </w:r>
          </w:p>
        </w:tc>
        <w:tc>
          <w:tcPr>
            <w:tcW w:w="1356" w:type="dxa"/>
            <w:vAlign w:val="center"/>
          </w:tcPr>
          <w:p>
            <w:pPr>
              <w:ind w:right="31680" w:rightChars="54"/>
              <w:jc w:val="right"/>
              <w:rPr>
                <w:rFonts w:ascii="宋体" w:cs="Times New Roman"/>
                <w:kern w:val="0"/>
              </w:rPr>
            </w:pPr>
            <w:r>
              <w:rPr>
                <w:rFonts w:ascii="宋体" w:hAnsi="宋体" w:cs="宋体"/>
                <w:kern w:val="0"/>
              </w:rPr>
              <w:t>3.79%</w:t>
            </w:r>
          </w:p>
        </w:tc>
        <w:tc>
          <w:tcPr>
            <w:tcW w:w="3785" w:type="dxa"/>
            <w:vAlign w:val="center"/>
          </w:tcPr>
          <w:p>
            <w:pPr>
              <w:widowControl/>
              <w:rPr>
                <w:rFonts w:ascii="宋体" w:cs="Times New Roman"/>
                <w:kern w:val="0"/>
              </w:rPr>
            </w:pPr>
          </w:p>
        </w:tc>
      </w:tr>
      <w:tr>
        <w:tc>
          <w:tcPr>
            <w:tcW w:w="1508" w:type="dxa"/>
            <w:vAlign w:val="center"/>
          </w:tcPr>
          <w:p>
            <w:pPr>
              <w:rPr>
                <w:rFonts w:ascii="宋体" w:cs="Times New Roman"/>
                <w:kern w:val="0"/>
              </w:rPr>
            </w:pPr>
            <w:r>
              <w:rPr>
                <w:rFonts w:hint="eastAsia" w:ascii="宋体" w:hAnsi="宋体" w:cs="宋体"/>
                <w:kern w:val="0"/>
              </w:rPr>
              <w:t>世界总量</w:t>
            </w:r>
          </w:p>
        </w:tc>
        <w:tc>
          <w:tcPr>
            <w:tcW w:w="1432" w:type="dxa"/>
            <w:vAlign w:val="center"/>
          </w:tcPr>
          <w:p>
            <w:pPr>
              <w:widowControl/>
              <w:ind w:right="31680" w:rightChars="167"/>
              <w:jc w:val="right"/>
              <w:rPr>
                <w:rFonts w:ascii="宋体" w:cs="宋体"/>
                <w:kern w:val="0"/>
              </w:rPr>
            </w:pPr>
            <w:r>
              <w:rPr>
                <w:rFonts w:ascii="宋体" w:hAnsi="宋体" w:cs="宋体"/>
                <w:kern w:val="0"/>
              </w:rPr>
              <w:t>24</w:t>
            </w:r>
            <w:r>
              <w:rPr>
                <w:rFonts w:ascii="宋体" w:cs="宋体"/>
                <w:kern w:val="0"/>
              </w:rPr>
              <w:t>0</w:t>
            </w:r>
          </w:p>
        </w:tc>
        <w:tc>
          <w:tcPr>
            <w:tcW w:w="1205" w:type="dxa"/>
            <w:vAlign w:val="center"/>
          </w:tcPr>
          <w:p>
            <w:pPr>
              <w:widowControl/>
              <w:ind w:right="31680" w:rightChars="54"/>
              <w:jc w:val="right"/>
              <w:rPr>
                <w:rFonts w:ascii="宋体" w:cs="Times New Roman"/>
                <w:kern w:val="0"/>
              </w:rPr>
            </w:pPr>
            <w:r>
              <w:rPr>
                <w:rFonts w:ascii="宋体" w:hAnsi="宋体" w:cs="宋体"/>
                <w:kern w:val="0"/>
              </w:rPr>
              <w:t>120000</w:t>
            </w:r>
          </w:p>
        </w:tc>
        <w:tc>
          <w:tcPr>
            <w:tcW w:w="1356" w:type="dxa"/>
            <w:vAlign w:val="center"/>
          </w:tcPr>
          <w:p>
            <w:pPr>
              <w:ind w:right="31680" w:rightChars="54"/>
              <w:jc w:val="right"/>
              <w:rPr>
                <w:rFonts w:ascii="宋体" w:cs="Times New Roman"/>
                <w:kern w:val="0"/>
              </w:rPr>
            </w:pPr>
            <w:r>
              <w:rPr>
                <w:rFonts w:ascii="宋体" w:hAnsi="宋体" w:cs="宋体"/>
                <w:kern w:val="0"/>
              </w:rPr>
              <w:t>100.00%</w:t>
            </w:r>
          </w:p>
        </w:tc>
        <w:tc>
          <w:tcPr>
            <w:tcW w:w="3785" w:type="dxa"/>
            <w:vAlign w:val="center"/>
          </w:tcPr>
          <w:p>
            <w:pPr>
              <w:widowControl/>
              <w:rPr>
                <w:rFonts w:ascii="宋体" w:cs="Times New Roman"/>
                <w:kern w:val="0"/>
              </w:rPr>
            </w:pPr>
          </w:p>
        </w:tc>
      </w:tr>
    </w:tbl>
    <w:p>
      <w:pPr>
        <w:spacing w:afterLines="50"/>
        <w:ind w:firstLine="31680" w:firstLineChars="135"/>
        <w:rPr>
          <w:rFonts w:ascii="Times New Roman" w:hAnsi="Times New Roman" w:eastAsia="楷体" w:cs="Times New Roman"/>
        </w:rPr>
      </w:pPr>
      <w:r>
        <w:rPr>
          <w:rFonts w:hint="eastAsia" w:ascii="Times New Roman" w:hAnsi="Times New Roman" w:eastAsia="楷体" w:cs="楷体"/>
        </w:rPr>
        <w:t>数据来源：</w:t>
      </w:r>
      <w:r>
        <w:rPr>
          <w:rFonts w:ascii="Times New Roman" w:hAnsi="Times New Roman" w:eastAsia="楷体" w:cs="Times New Roman"/>
        </w:rPr>
        <w:t xml:space="preserve">USGS </w:t>
      </w:r>
      <w:r>
        <w:rPr>
          <w:rFonts w:hint="eastAsia" w:ascii="Times New Roman" w:hAnsi="Times New Roman" w:eastAsia="楷体" w:cs="楷体"/>
        </w:rPr>
        <w:t>《</w:t>
      </w:r>
      <w:r>
        <w:rPr>
          <w:rFonts w:ascii="Times New Roman" w:hAnsi="Times New Roman" w:eastAsia="楷体" w:cs="Times New Roman"/>
        </w:rPr>
        <w:t>MINERAL COMMODITY SUMMARIES 2020</w:t>
      </w:r>
      <w:r>
        <w:rPr>
          <w:rFonts w:hint="eastAsia" w:ascii="Times New Roman" w:hAnsi="Times New Roman" w:eastAsia="楷体" w:cs="楷体"/>
        </w:rPr>
        <w:t>》</w:t>
      </w:r>
    </w:p>
    <w:p>
      <w:pPr>
        <w:pStyle w:val="4"/>
        <w:spacing w:before="240" w:after="120" w:line="415" w:lineRule="auto"/>
        <w:rPr>
          <w:rFonts w:ascii="仿宋" w:hAnsi="仿宋" w:eastAsia="仿宋" w:cs="Times New Roman"/>
          <w:sz w:val="28"/>
          <w:szCs w:val="28"/>
        </w:rPr>
      </w:pPr>
      <w:bookmarkStart w:id="17" w:name="_Toc70684631"/>
      <w:r>
        <w:rPr>
          <w:rFonts w:ascii="仿宋" w:hAnsi="仿宋" w:eastAsia="仿宋" w:cs="仿宋"/>
          <w:sz w:val="28"/>
          <w:szCs w:val="28"/>
        </w:rPr>
        <w:t>2.</w:t>
      </w:r>
      <w:r>
        <w:rPr>
          <w:rFonts w:hint="eastAsia" w:ascii="仿宋" w:hAnsi="仿宋" w:eastAsia="仿宋" w:cs="仿宋"/>
          <w:sz w:val="28"/>
          <w:szCs w:val="28"/>
        </w:rPr>
        <w:t>国内外稀土生产现状及趋势</w:t>
      </w:r>
      <w:bookmarkEnd w:id="17"/>
    </w:p>
    <w:p>
      <w:pPr>
        <w:spacing w:line="560" w:lineRule="exact"/>
        <w:ind w:firstLine="31680" w:firstLineChars="196"/>
        <w:rPr>
          <w:rFonts w:ascii="仿宋" w:hAnsi="仿宋" w:eastAsia="仿宋" w:cs="Times New Roman"/>
          <w:sz w:val="28"/>
          <w:szCs w:val="28"/>
        </w:rPr>
      </w:pPr>
      <w:r>
        <w:rPr>
          <w:rFonts w:hint="eastAsia" w:ascii="仿宋" w:hAnsi="仿宋" w:eastAsia="仿宋" w:cs="仿宋"/>
          <w:sz w:val="28"/>
          <w:szCs w:val="28"/>
        </w:rPr>
        <w:t>近几年，全球稀土多元化供应格局逐步建立，除中国外，澳大利亚、美国、缅甸等国都相继有稀土矿投产。据统计，</w:t>
      </w:r>
      <w:r>
        <w:rPr>
          <w:rFonts w:ascii="仿宋" w:hAnsi="仿宋" w:eastAsia="仿宋" w:cs="仿宋"/>
          <w:sz w:val="28"/>
          <w:szCs w:val="28"/>
        </w:rPr>
        <w:t>2020</w:t>
      </w:r>
      <w:r>
        <w:rPr>
          <w:rFonts w:hint="eastAsia" w:ascii="仿宋" w:hAnsi="仿宋" w:eastAsia="仿宋" w:cs="仿宋"/>
          <w:sz w:val="28"/>
          <w:szCs w:val="28"/>
        </w:rPr>
        <w:t>年，全球稀土矿产量近</w:t>
      </w:r>
      <w:r>
        <w:rPr>
          <w:rFonts w:ascii="仿宋" w:hAnsi="仿宋" w:eastAsia="仿宋" w:cs="仿宋"/>
          <w:sz w:val="28"/>
          <w:szCs w:val="28"/>
        </w:rPr>
        <w:t>24.3</w:t>
      </w:r>
      <w:r>
        <w:rPr>
          <w:rFonts w:hint="eastAsia" w:ascii="仿宋" w:hAnsi="仿宋" w:eastAsia="仿宋" w:cs="仿宋"/>
          <w:sz w:val="28"/>
          <w:szCs w:val="28"/>
        </w:rPr>
        <w:t>万吨（</w:t>
      </w:r>
      <w:r>
        <w:rPr>
          <w:rFonts w:ascii="仿宋" w:hAnsi="仿宋" w:eastAsia="仿宋" w:cs="仿宋"/>
          <w:sz w:val="28"/>
          <w:szCs w:val="28"/>
        </w:rPr>
        <w:t>REO</w:t>
      </w:r>
      <w:r>
        <w:rPr>
          <w:rFonts w:hint="eastAsia" w:ascii="仿宋" w:hAnsi="仿宋" w:eastAsia="仿宋" w:cs="仿宋"/>
          <w:sz w:val="28"/>
          <w:szCs w:val="28"/>
        </w:rPr>
        <w:t>），同比增长</w:t>
      </w:r>
      <w:r>
        <w:rPr>
          <w:rFonts w:ascii="仿宋" w:hAnsi="仿宋" w:eastAsia="仿宋" w:cs="仿宋"/>
          <w:sz w:val="28"/>
          <w:szCs w:val="28"/>
        </w:rPr>
        <w:t>11.2%</w:t>
      </w:r>
      <w:r>
        <w:rPr>
          <w:rFonts w:hint="eastAsia" w:ascii="仿宋" w:hAnsi="仿宋" w:eastAsia="仿宋" w:cs="仿宋"/>
          <w:sz w:val="28"/>
          <w:szCs w:val="28"/>
        </w:rPr>
        <w:t>。其中，中国、美国、澳大利亚和缅甸四国的稀土矿产量约</w:t>
      </w:r>
      <w:r>
        <w:rPr>
          <w:rFonts w:ascii="仿宋" w:hAnsi="仿宋" w:eastAsia="仿宋" w:cs="仿宋"/>
          <w:sz w:val="28"/>
          <w:szCs w:val="28"/>
        </w:rPr>
        <w:t>22.5</w:t>
      </w:r>
      <w:r>
        <w:rPr>
          <w:rFonts w:hint="eastAsia" w:ascii="仿宋" w:hAnsi="仿宋" w:eastAsia="仿宋" w:cs="仿宋"/>
          <w:sz w:val="28"/>
          <w:szCs w:val="28"/>
        </w:rPr>
        <w:t>万吨，约占全球总产量的</w:t>
      </w:r>
      <w:r>
        <w:rPr>
          <w:rFonts w:ascii="仿宋" w:hAnsi="仿宋" w:eastAsia="仿宋" w:cs="仿宋"/>
          <w:sz w:val="28"/>
          <w:szCs w:val="28"/>
        </w:rPr>
        <w:t>92.6%</w:t>
      </w:r>
      <w:r>
        <w:rPr>
          <w:rFonts w:hint="eastAsia" w:ascii="仿宋" w:hAnsi="仿宋" w:eastAsia="仿宋" w:cs="仿宋"/>
          <w:sz w:val="28"/>
          <w:szCs w:val="28"/>
        </w:rPr>
        <w:t>；俄罗斯、巴西、印度、泰国等国家的矿产量占全球稀土矿产量的约</w:t>
      </w:r>
      <w:r>
        <w:rPr>
          <w:rFonts w:ascii="仿宋" w:hAnsi="仿宋" w:eastAsia="仿宋" w:cs="仿宋"/>
          <w:sz w:val="28"/>
          <w:szCs w:val="28"/>
        </w:rPr>
        <w:t>7.4%</w:t>
      </w:r>
      <w:r>
        <w:rPr>
          <w:rFonts w:hint="eastAsia" w:ascii="仿宋" w:hAnsi="仿宋" w:eastAsia="仿宋" w:cs="仿宋"/>
          <w:sz w:val="28"/>
          <w:szCs w:val="28"/>
        </w:rPr>
        <w:t>。</w:t>
      </w:r>
    </w:p>
    <w:p>
      <w:pPr>
        <w:spacing w:line="560" w:lineRule="exact"/>
        <w:ind w:firstLine="31680" w:firstLineChars="196"/>
        <w:rPr>
          <w:rFonts w:ascii="仿宋" w:hAnsi="仿宋" w:eastAsia="仿宋" w:cs="Times New Roman"/>
          <w:sz w:val="28"/>
          <w:szCs w:val="28"/>
        </w:rPr>
      </w:pPr>
      <w:r>
        <w:rPr>
          <w:rFonts w:hint="eastAsia" w:ascii="仿宋" w:hAnsi="仿宋" w:eastAsia="仿宋" w:cs="仿宋"/>
          <w:sz w:val="28"/>
          <w:szCs w:val="28"/>
        </w:rPr>
        <w:t>目前，中国作为全球最大的稀土生产国，严格实行开采、生产总量控制管理，即每年由自然资源部和工信部分两批把生产指标下达给六大稀土集团，任何单位和个人不得无计划和超计划生产。</w:t>
      </w:r>
      <w:r>
        <w:rPr>
          <w:rFonts w:ascii="仿宋" w:hAnsi="仿宋" w:eastAsia="仿宋" w:cs="仿宋"/>
          <w:sz w:val="28"/>
          <w:szCs w:val="28"/>
        </w:rPr>
        <w:t>2020</w:t>
      </w:r>
      <w:r>
        <w:rPr>
          <w:rFonts w:hint="eastAsia" w:ascii="仿宋" w:hAnsi="仿宋" w:eastAsia="仿宋" w:cs="仿宋"/>
          <w:sz w:val="28"/>
          <w:szCs w:val="28"/>
        </w:rPr>
        <w:t>年，我国稀土采矿指标总量为</w:t>
      </w:r>
      <w:r>
        <w:rPr>
          <w:rFonts w:ascii="仿宋" w:hAnsi="仿宋" w:eastAsia="仿宋" w:cs="仿宋"/>
          <w:sz w:val="28"/>
          <w:szCs w:val="28"/>
        </w:rPr>
        <w:t>14</w:t>
      </w:r>
      <w:r>
        <w:rPr>
          <w:rFonts w:hint="eastAsia" w:ascii="仿宋" w:hAnsi="仿宋" w:eastAsia="仿宋" w:cs="仿宋"/>
          <w:sz w:val="28"/>
          <w:szCs w:val="28"/>
        </w:rPr>
        <w:t>万吨，其中北方稀土占</w:t>
      </w:r>
      <w:r>
        <w:rPr>
          <w:rFonts w:ascii="仿宋" w:hAnsi="仿宋" w:eastAsia="仿宋" w:cs="仿宋"/>
          <w:sz w:val="28"/>
          <w:szCs w:val="28"/>
        </w:rPr>
        <w:t>52.5%</w:t>
      </w:r>
      <w:r>
        <w:rPr>
          <w:rFonts w:hint="eastAsia" w:ascii="仿宋" w:hAnsi="仿宋" w:eastAsia="仿宋" w:cs="仿宋"/>
          <w:sz w:val="28"/>
          <w:szCs w:val="28"/>
        </w:rPr>
        <w:t>，南方稀土集团占</w:t>
      </w:r>
      <w:r>
        <w:rPr>
          <w:rFonts w:ascii="仿宋" w:hAnsi="仿宋" w:eastAsia="仿宋" w:cs="仿宋"/>
          <w:sz w:val="28"/>
          <w:szCs w:val="28"/>
        </w:rPr>
        <w:t>29.5%</w:t>
      </w:r>
      <w:r>
        <w:rPr>
          <w:rFonts w:hint="eastAsia" w:ascii="仿宋" w:hAnsi="仿宋" w:eastAsia="仿宋" w:cs="仿宋"/>
          <w:sz w:val="28"/>
          <w:szCs w:val="28"/>
        </w:rPr>
        <w:t>，中国稀有稀土占</w:t>
      </w:r>
      <w:r>
        <w:rPr>
          <w:rFonts w:ascii="仿宋" w:hAnsi="仿宋" w:eastAsia="仿宋" w:cs="仿宋"/>
          <w:sz w:val="28"/>
          <w:szCs w:val="28"/>
        </w:rPr>
        <w:t>12.2%</w:t>
      </w:r>
      <w:r>
        <w:rPr>
          <w:rFonts w:hint="eastAsia" w:ascii="仿宋" w:hAnsi="仿宋" w:eastAsia="仿宋" w:cs="仿宋"/>
          <w:sz w:val="28"/>
          <w:szCs w:val="28"/>
        </w:rPr>
        <w:t>，厦门钨业占</w:t>
      </w:r>
      <w:r>
        <w:rPr>
          <w:rFonts w:ascii="仿宋" w:hAnsi="仿宋" w:eastAsia="仿宋" w:cs="仿宋"/>
          <w:sz w:val="28"/>
          <w:szCs w:val="28"/>
        </w:rPr>
        <w:t>2.5%</w:t>
      </w:r>
      <w:r>
        <w:rPr>
          <w:rFonts w:hint="eastAsia" w:ascii="仿宋" w:hAnsi="仿宋" w:eastAsia="仿宋" w:cs="仿宋"/>
          <w:sz w:val="28"/>
          <w:szCs w:val="28"/>
        </w:rPr>
        <w:t>，五矿稀土和广东稀土集团各占</w:t>
      </w:r>
      <w:r>
        <w:rPr>
          <w:rFonts w:ascii="仿宋" w:hAnsi="仿宋" w:eastAsia="仿宋" w:cs="仿宋"/>
          <w:sz w:val="28"/>
          <w:szCs w:val="28"/>
        </w:rPr>
        <w:t>1.4%</w:t>
      </w:r>
      <w:r>
        <w:rPr>
          <w:rFonts w:hint="eastAsia" w:ascii="仿宋" w:hAnsi="仿宋" w:eastAsia="仿宋" w:cs="仿宋"/>
          <w:sz w:val="28"/>
          <w:szCs w:val="28"/>
        </w:rPr>
        <w:t>和</w:t>
      </w:r>
      <w:r>
        <w:rPr>
          <w:rFonts w:ascii="仿宋" w:hAnsi="仿宋" w:eastAsia="仿宋" w:cs="仿宋"/>
          <w:sz w:val="28"/>
          <w:szCs w:val="28"/>
        </w:rPr>
        <w:t>1.9%</w:t>
      </w:r>
      <w:r>
        <w:rPr>
          <w:rFonts w:hint="eastAsia" w:ascii="仿宋" w:hAnsi="仿宋" w:eastAsia="仿宋" w:cs="仿宋"/>
          <w:sz w:val="28"/>
          <w:szCs w:val="28"/>
        </w:rPr>
        <w:t>。</w:t>
      </w:r>
    </w:p>
    <w:p>
      <w:pPr>
        <w:spacing w:line="560" w:lineRule="exact"/>
        <w:ind w:firstLine="31680" w:firstLineChars="196"/>
        <w:rPr>
          <w:rFonts w:ascii="仿宋" w:hAnsi="仿宋" w:eastAsia="仿宋" w:cs="Times New Roman"/>
          <w:sz w:val="28"/>
          <w:szCs w:val="28"/>
        </w:rPr>
      </w:pPr>
      <w:r>
        <w:rPr>
          <w:rFonts w:hint="eastAsia" w:ascii="仿宋" w:hAnsi="仿宋" w:eastAsia="仿宋" w:cs="仿宋"/>
          <w:sz w:val="28"/>
          <w:szCs w:val="28"/>
        </w:rPr>
        <w:t>未来几年，美澳等西方国家对稀土等战略性矿产资源重视度的提高，将推动国外一些在建的稀土矿山加快投产或达产进度，但受地缘政治风险等因素影响，缅甸、老挝等东南亚国家的稀土矿开采也存在较大的不确定性。在我国《稀土行业发展规划（</w:t>
      </w:r>
      <w:r>
        <w:rPr>
          <w:rFonts w:ascii="仿宋" w:hAnsi="仿宋" w:eastAsia="仿宋" w:cs="仿宋"/>
          <w:sz w:val="28"/>
          <w:szCs w:val="28"/>
        </w:rPr>
        <w:t>2016-2020</w:t>
      </w:r>
      <w:r>
        <w:rPr>
          <w:rFonts w:hint="eastAsia" w:ascii="仿宋" w:hAnsi="仿宋" w:eastAsia="仿宋" w:cs="仿宋"/>
          <w:sz w:val="28"/>
          <w:szCs w:val="28"/>
        </w:rPr>
        <w:t>年）》中提到，到</w:t>
      </w:r>
      <w:r>
        <w:rPr>
          <w:rFonts w:ascii="仿宋" w:hAnsi="仿宋" w:eastAsia="仿宋" w:cs="仿宋"/>
          <w:sz w:val="28"/>
          <w:szCs w:val="28"/>
        </w:rPr>
        <w:t>2020</w:t>
      </w:r>
      <w:r>
        <w:rPr>
          <w:rFonts w:hint="eastAsia" w:ascii="仿宋" w:hAnsi="仿宋" w:eastAsia="仿宋" w:cs="仿宋"/>
          <w:sz w:val="28"/>
          <w:szCs w:val="28"/>
        </w:rPr>
        <w:t>年稀土年度开采量控制在</w:t>
      </w:r>
      <w:r>
        <w:rPr>
          <w:rFonts w:ascii="仿宋" w:hAnsi="仿宋" w:eastAsia="仿宋" w:cs="仿宋"/>
          <w:sz w:val="28"/>
          <w:szCs w:val="28"/>
        </w:rPr>
        <w:t>14</w:t>
      </w:r>
      <w:r>
        <w:rPr>
          <w:rFonts w:hint="eastAsia" w:ascii="仿宋" w:hAnsi="仿宋" w:eastAsia="仿宋" w:cs="仿宋"/>
          <w:sz w:val="28"/>
          <w:szCs w:val="28"/>
        </w:rPr>
        <w:t>万吨以内。预计“十四·五”期间，我国依然继续实行稀土生产总量控制计划政策，稀土矿的开采量仍将以满足市场需求而定，不会出现大幅增长。</w:t>
      </w:r>
    </w:p>
    <w:p>
      <w:pPr>
        <w:spacing w:line="560" w:lineRule="exact"/>
        <w:ind w:firstLine="31680" w:firstLineChars="196"/>
        <w:rPr>
          <w:rFonts w:ascii="仿宋" w:hAnsi="仿宋" w:eastAsia="仿宋" w:cs="Times New Roman"/>
        </w:rPr>
      </w:pPr>
      <w:r>
        <w:rPr>
          <w:rFonts w:hint="eastAsia" w:ascii="仿宋" w:hAnsi="仿宋" w:eastAsia="仿宋" w:cs="仿宋"/>
          <w:sz w:val="28"/>
          <w:szCs w:val="28"/>
        </w:rPr>
        <w:t>因此，预计未来五年全球稀土矿供应以中国为主的模式不会改变，稀土矿的供应量将持续增加，但增速可能会放缓。到</w:t>
      </w:r>
      <w:r>
        <w:rPr>
          <w:rFonts w:ascii="仿宋" w:hAnsi="仿宋" w:eastAsia="仿宋" w:cs="仿宋"/>
          <w:sz w:val="28"/>
          <w:szCs w:val="28"/>
        </w:rPr>
        <w:t>2025</w:t>
      </w:r>
      <w:r>
        <w:rPr>
          <w:rFonts w:hint="eastAsia" w:ascii="仿宋" w:hAnsi="仿宋" w:eastAsia="仿宋" w:cs="仿宋"/>
          <w:sz w:val="28"/>
          <w:szCs w:val="28"/>
        </w:rPr>
        <w:t>年，全球稀土矿产量有望达到近</w:t>
      </w:r>
      <w:r>
        <w:rPr>
          <w:rFonts w:ascii="仿宋" w:hAnsi="仿宋" w:eastAsia="仿宋" w:cs="仿宋"/>
          <w:sz w:val="28"/>
          <w:szCs w:val="28"/>
        </w:rPr>
        <w:t>27</w:t>
      </w:r>
      <w:r>
        <w:rPr>
          <w:rFonts w:hint="eastAsia" w:ascii="仿宋" w:hAnsi="仿宋" w:eastAsia="仿宋" w:cs="仿宋"/>
          <w:sz w:val="28"/>
          <w:szCs w:val="28"/>
        </w:rPr>
        <w:t>万吨（</w:t>
      </w:r>
      <w:r>
        <w:rPr>
          <w:rFonts w:ascii="仿宋" w:hAnsi="仿宋" w:eastAsia="仿宋" w:cs="仿宋"/>
          <w:sz w:val="28"/>
          <w:szCs w:val="28"/>
        </w:rPr>
        <w:t>REO</w:t>
      </w:r>
      <w:r>
        <w:rPr>
          <w:rFonts w:hint="eastAsia" w:ascii="仿宋" w:hAnsi="仿宋" w:eastAsia="仿宋" w:cs="仿宋"/>
          <w:sz w:val="28"/>
          <w:szCs w:val="28"/>
        </w:rPr>
        <w:t>）。</w:t>
      </w:r>
    </w:p>
    <w:p>
      <w:pPr>
        <w:pStyle w:val="4"/>
        <w:spacing w:before="240" w:after="120" w:line="415" w:lineRule="auto"/>
        <w:rPr>
          <w:rFonts w:ascii="仿宋" w:hAnsi="仿宋" w:eastAsia="仿宋" w:cs="Times New Roman"/>
          <w:sz w:val="28"/>
          <w:szCs w:val="28"/>
        </w:rPr>
      </w:pPr>
      <w:bookmarkStart w:id="18" w:name="_Toc70684632"/>
      <w:r>
        <w:rPr>
          <w:rFonts w:ascii="仿宋" w:hAnsi="仿宋" w:eastAsia="仿宋" w:cs="仿宋"/>
          <w:sz w:val="28"/>
          <w:szCs w:val="28"/>
        </w:rPr>
        <w:t>3.</w:t>
      </w:r>
      <w:r>
        <w:rPr>
          <w:rFonts w:hint="eastAsia" w:ascii="仿宋" w:hAnsi="仿宋" w:eastAsia="仿宋" w:cs="仿宋"/>
          <w:sz w:val="28"/>
          <w:szCs w:val="28"/>
        </w:rPr>
        <w:t>国内外稀土消费结构及趋势</w:t>
      </w:r>
      <w:bookmarkEnd w:id="18"/>
    </w:p>
    <w:p>
      <w:pPr>
        <w:spacing w:line="560" w:lineRule="exact"/>
        <w:ind w:firstLine="31680" w:firstLineChars="196"/>
        <w:rPr>
          <w:rFonts w:ascii="仿宋" w:hAnsi="仿宋" w:eastAsia="仿宋" w:cs="Times New Roman"/>
          <w:sz w:val="28"/>
          <w:szCs w:val="28"/>
        </w:rPr>
      </w:pPr>
      <w:r>
        <w:rPr>
          <w:rFonts w:hint="eastAsia" w:ascii="仿宋" w:hAnsi="仿宋" w:eastAsia="仿宋" w:cs="仿宋"/>
          <w:sz w:val="28"/>
          <w:szCs w:val="28"/>
        </w:rPr>
        <w:t>稀土的消费相对比较集中。从国别来看，全球的稀土消费主要集中于中国、日本和美国。从下游应用来看，各主要稀土应用国的下游分布差异比较大。其中，中国和日本的最大稀土消费领域是永磁材料，美国则是催化剂。</w:t>
      </w:r>
    </w:p>
    <w:p>
      <w:pPr>
        <w:spacing w:line="560" w:lineRule="exact"/>
        <w:ind w:firstLine="31680" w:firstLineChars="196"/>
        <w:rPr>
          <w:rFonts w:ascii="仿宋" w:hAnsi="仿宋" w:eastAsia="仿宋" w:cs="Times New Roman"/>
          <w:sz w:val="28"/>
          <w:szCs w:val="28"/>
        </w:rPr>
      </w:pPr>
      <w:r>
        <w:rPr>
          <w:rFonts w:hint="eastAsia" w:ascii="仿宋" w:hAnsi="仿宋" w:eastAsia="仿宋" w:cs="仿宋"/>
          <w:sz w:val="28"/>
          <w:szCs w:val="28"/>
        </w:rPr>
        <w:t>以稀土功能材料在我国的稀土消费结构来看，稀土永磁材料受益于新能源汽车和电子工业等领域的高速发展，在消费结构中的占比最高超过</w:t>
      </w:r>
      <w:r>
        <w:rPr>
          <w:rFonts w:ascii="仿宋" w:hAnsi="仿宋" w:eastAsia="仿宋" w:cs="仿宋"/>
          <w:sz w:val="28"/>
          <w:szCs w:val="28"/>
        </w:rPr>
        <w:t>40%</w:t>
      </w:r>
      <w:r>
        <w:rPr>
          <w:rFonts w:hint="eastAsia" w:ascii="仿宋" w:hAnsi="仿宋" w:eastAsia="仿宋" w:cs="仿宋"/>
          <w:sz w:val="28"/>
          <w:szCs w:val="28"/>
        </w:rPr>
        <w:t>；冶金和机械、石油化工、玻璃陶瓷占比分别为</w:t>
      </w:r>
      <w:r>
        <w:rPr>
          <w:rFonts w:ascii="仿宋" w:hAnsi="仿宋" w:eastAsia="仿宋" w:cs="仿宋"/>
          <w:sz w:val="28"/>
          <w:szCs w:val="28"/>
        </w:rPr>
        <w:t>12%</w:t>
      </w:r>
      <w:r>
        <w:rPr>
          <w:rFonts w:hint="eastAsia" w:ascii="仿宋" w:hAnsi="仿宋" w:eastAsia="仿宋" w:cs="仿宋"/>
          <w:sz w:val="28"/>
          <w:szCs w:val="28"/>
        </w:rPr>
        <w:t>、</w:t>
      </w:r>
      <w:r>
        <w:rPr>
          <w:rFonts w:ascii="仿宋" w:hAnsi="仿宋" w:eastAsia="仿宋" w:cs="仿宋"/>
          <w:sz w:val="28"/>
          <w:szCs w:val="28"/>
        </w:rPr>
        <w:t>9%</w:t>
      </w:r>
      <w:r>
        <w:rPr>
          <w:rFonts w:hint="eastAsia" w:ascii="仿宋" w:hAnsi="仿宋" w:eastAsia="仿宋" w:cs="仿宋"/>
          <w:sz w:val="28"/>
          <w:szCs w:val="28"/>
        </w:rPr>
        <w:t>和</w:t>
      </w:r>
      <w:r>
        <w:rPr>
          <w:rFonts w:ascii="仿宋" w:hAnsi="仿宋" w:eastAsia="仿宋" w:cs="仿宋"/>
          <w:sz w:val="28"/>
          <w:szCs w:val="28"/>
        </w:rPr>
        <w:t>8%</w:t>
      </w:r>
      <w:r>
        <w:rPr>
          <w:rFonts w:hint="eastAsia" w:ascii="仿宋" w:hAnsi="仿宋" w:eastAsia="仿宋" w:cs="仿宋"/>
          <w:sz w:val="28"/>
          <w:szCs w:val="28"/>
        </w:rPr>
        <w:t>，储氢材料和发光材料各占比约</w:t>
      </w:r>
      <w:r>
        <w:rPr>
          <w:rFonts w:ascii="仿宋" w:hAnsi="仿宋" w:eastAsia="仿宋" w:cs="仿宋"/>
          <w:sz w:val="28"/>
          <w:szCs w:val="28"/>
        </w:rPr>
        <w:t>7%</w:t>
      </w:r>
      <w:r>
        <w:rPr>
          <w:rFonts w:hint="eastAsia" w:ascii="仿宋" w:hAnsi="仿宋" w:eastAsia="仿宋" w:cs="仿宋"/>
          <w:sz w:val="28"/>
          <w:szCs w:val="28"/>
        </w:rPr>
        <w:t>；催化材料、抛光材料和农业轻纺各占</w:t>
      </w:r>
      <w:r>
        <w:rPr>
          <w:rFonts w:ascii="仿宋" w:hAnsi="仿宋" w:eastAsia="仿宋" w:cs="仿宋"/>
          <w:sz w:val="28"/>
          <w:szCs w:val="28"/>
        </w:rPr>
        <w:t>5%</w:t>
      </w:r>
      <w:r>
        <w:rPr>
          <w:rFonts w:hint="eastAsia" w:ascii="仿宋" w:hAnsi="仿宋" w:eastAsia="仿宋" w:cs="仿宋"/>
          <w:sz w:val="28"/>
          <w:szCs w:val="28"/>
        </w:rPr>
        <w:t>。</w:t>
      </w:r>
    </w:p>
    <w:p>
      <w:pPr>
        <w:spacing w:line="560" w:lineRule="exact"/>
        <w:ind w:firstLine="31680" w:firstLineChars="196"/>
        <w:rPr>
          <w:rFonts w:ascii="仿宋" w:hAnsi="仿宋" w:eastAsia="仿宋" w:cs="Times New Roman"/>
          <w:sz w:val="28"/>
          <w:szCs w:val="28"/>
        </w:rPr>
      </w:pPr>
      <w:r>
        <w:rPr>
          <w:rFonts w:hint="eastAsia" w:ascii="仿宋" w:hAnsi="仿宋" w:eastAsia="仿宋" w:cs="仿宋"/>
          <w:sz w:val="28"/>
          <w:szCs w:val="28"/>
        </w:rPr>
        <w:t>由于稀土在节能、环保以及装备小型化、轻量化等领域具有的显著优势，因此，从全球来看，未来稀土消费的主要增长点在高性能钕铁硼磁性材料、稀土催化材料、晶体、发光等下游领域具有广阔的应用前景。</w:t>
      </w:r>
    </w:p>
    <w:p>
      <w:pPr>
        <w:spacing w:line="560" w:lineRule="exact"/>
        <w:ind w:firstLine="31680" w:firstLineChars="196"/>
        <w:rPr>
          <w:rFonts w:ascii="仿宋" w:hAnsi="仿宋" w:eastAsia="仿宋" w:cs="Times New Roman"/>
          <w:sz w:val="28"/>
          <w:szCs w:val="28"/>
        </w:rPr>
      </w:pPr>
      <w:r>
        <w:rPr>
          <w:rFonts w:hint="eastAsia" w:ascii="仿宋" w:hAnsi="仿宋" w:eastAsia="仿宋" w:cs="仿宋"/>
          <w:sz w:val="28"/>
          <w:szCs w:val="28"/>
        </w:rPr>
        <w:t>在我国，党的十八大提出了“美丽中国”战略，从国家层面整体推进生态文明建设，实现绿色、循环、低碳发展。新一代信息技术产业、高档数控机床和机器人、航空航天装备、海洋工程装备及高技术船舶、先进轨道交通装备、节能与新能源汽车、电力装备、农机装备、新材料、生物医药及高性能医疗器械等十大重点领域与稀土产业关联度高，可发挥稀土材料在未来社会发展中数字化、智能化、网络化建设的支撑作用，将为稀土行业发展注入新动能。</w:t>
      </w:r>
    </w:p>
    <w:p>
      <w:pPr>
        <w:pStyle w:val="4"/>
        <w:spacing w:before="240" w:after="120" w:line="415" w:lineRule="auto"/>
        <w:rPr>
          <w:rFonts w:ascii="仿宋" w:hAnsi="仿宋" w:eastAsia="仿宋" w:cs="Times New Roman"/>
          <w:sz w:val="28"/>
          <w:szCs w:val="28"/>
        </w:rPr>
      </w:pPr>
      <w:bookmarkStart w:id="19" w:name="_Toc70684633"/>
      <w:r>
        <w:rPr>
          <w:rFonts w:ascii="仿宋" w:hAnsi="仿宋" w:eastAsia="仿宋" w:cs="仿宋"/>
          <w:sz w:val="28"/>
          <w:szCs w:val="28"/>
        </w:rPr>
        <w:t>4.</w:t>
      </w:r>
      <w:r>
        <w:rPr>
          <w:rFonts w:hint="eastAsia" w:ascii="仿宋" w:hAnsi="仿宋" w:eastAsia="仿宋" w:cs="仿宋"/>
          <w:sz w:val="28"/>
          <w:szCs w:val="28"/>
        </w:rPr>
        <w:t>国内稀土生产与进出口政策</w:t>
      </w:r>
      <w:bookmarkEnd w:id="19"/>
    </w:p>
    <w:p>
      <w:pPr>
        <w:pStyle w:val="5"/>
        <w:spacing w:before="240" w:after="120" w:line="377" w:lineRule="auto"/>
        <w:rPr>
          <w:rFonts w:ascii="仿宋" w:hAnsi="仿宋" w:eastAsia="仿宋" w:cs="Times New Roman"/>
        </w:rPr>
      </w:pPr>
      <w:bookmarkStart w:id="20" w:name="_Toc29544989"/>
      <w:r>
        <w:rPr>
          <w:rFonts w:hint="eastAsia" w:ascii="仿宋" w:hAnsi="仿宋" w:eastAsia="仿宋" w:cs="仿宋"/>
        </w:rPr>
        <w:t>（</w:t>
      </w:r>
      <w:r>
        <w:rPr>
          <w:rFonts w:ascii="仿宋" w:hAnsi="仿宋" w:eastAsia="仿宋" w:cs="仿宋"/>
        </w:rPr>
        <w:t>1</w:t>
      </w:r>
      <w:r>
        <w:rPr>
          <w:rFonts w:hint="eastAsia" w:ascii="仿宋" w:hAnsi="仿宋" w:eastAsia="仿宋" w:cs="仿宋"/>
        </w:rPr>
        <w:t>）中国稀土</w:t>
      </w:r>
      <w:bookmarkEnd w:id="20"/>
      <w:r>
        <w:rPr>
          <w:rFonts w:hint="eastAsia" w:ascii="仿宋" w:hAnsi="仿宋" w:eastAsia="仿宋" w:cs="仿宋"/>
        </w:rPr>
        <w:t>生产政策</w:t>
      </w:r>
    </w:p>
    <w:p>
      <w:pPr>
        <w:spacing w:line="560" w:lineRule="exact"/>
        <w:ind w:firstLine="31680" w:firstLineChars="196"/>
        <w:rPr>
          <w:rFonts w:ascii="仿宋" w:hAnsi="仿宋" w:eastAsia="仿宋" w:cs="Times New Roman"/>
          <w:sz w:val="28"/>
          <w:szCs w:val="28"/>
        </w:rPr>
      </w:pPr>
      <w:r>
        <w:rPr>
          <w:rFonts w:hint="eastAsia" w:ascii="仿宋" w:hAnsi="仿宋" w:eastAsia="仿宋" w:cs="仿宋"/>
          <w:sz w:val="28"/>
          <w:szCs w:val="28"/>
        </w:rPr>
        <w:t>为控制好稀土资源的开采，从</w:t>
      </w:r>
      <w:r>
        <w:rPr>
          <w:rFonts w:ascii="仿宋" w:hAnsi="仿宋" w:eastAsia="仿宋" w:cs="仿宋"/>
          <w:sz w:val="28"/>
          <w:szCs w:val="28"/>
        </w:rPr>
        <w:t>2007</w:t>
      </w:r>
      <w:r>
        <w:rPr>
          <w:rFonts w:hint="eastAsia" w:ascii="仿宋" w:hAnsi="仿宋" w:eastAsia="仿宋" w:cs="仿宋"/>
          <w:sz w:val="28"/>
          <w:szCs w:val="28"/>
        </w:rPr>
        <w:t>年起，我国稀土生产计划由国家指导性改为国家指令性，管理趋向严格。</w:t>
      </w:r>
      <w:r>
        <w:rPr>
          <w:rFonts w:ascii="仿宋" w:hAnsi="仿宋" w:eastAsia="仿宋" w:cs="仿宋"/>
          <w:sz w:val="28"/>
          <w:szCs w:val="28"/>
        </w:rPr>
        <w:t>2016</w:t>
      </w:r>
      <w:r>
        <w:rPr>
          <w:rFonts w:hint="eastAsia" w:ascii="仿宋" w:hAnsi="仿宋" w:eastAsia="仿宋" w:cs="仿宋"/>
          <w:sz w:val="28"/>
          <w:szCs w:val="28"/>
        </w:rPr>
        <w:t>年我国六大稀土组建完成后，每年自然资源部和工信部分两次把矿产品和冶炼分离产品生产指标直接下达给六大稀土集团，任何单位不得无计划和超计划生产。</w:t>
      </w:r>
    </w:p>
    <w:p>
      <w:pPr>
        <w:pStyle w:val="5"/>
        <w:spacing w:before="240" w:after="120" w:line="377" w:lineRule="auto"/>
        <w:rPr>
          <w:rFonts w:ascii="仿宋" w:hAnsi="仿宋" w:eastAsia="仿宋" w:cs="Times New Roman"/>
        </w:rPr>
      </w:pPr>
      <w:r>
        <w:rPr>
          <w:rFonts w:hint="eastAsia" w:ascii="仿宋" w:hAnsi="仿宋" w:eastAsia="仿宋" w:cs="仿宋"/>
        </w:rPr>
        <w:t>（</w:t>
      </w:r>
      <w:r>
        <w:rPr>
          <w:rFonts w:ascii="仿宋" w:hAnsi="仿宋" w:eastAsia="仿宋" w:cs="仿宋"/>
        </w:rPr>
        <w:t>2</w:t>
      </w:r>
      <w:r>
        <w:rPr>
          <w:rFonts w:hint="eastAsia" w:ascii="仿宋" w:hAnsi="仿宋" w:eastAsia="仿宋" w:cs="仿宋"/>
        </w:rPr>
        <w:t>）稀土进出口政策</w:t>
      </w:r>
    </w:p>
    <w:p>
      <w:pPr>
        <w:spacing w:line="560" w:lineRule="exact"/>
        <w:ind w:firstLine="31680" w:firstLineChars="196"/>
        <w:rPr>
          <w:rFonts w:ascii="楷体" w:hAnsi="楷体" w:eastAsia="楷体" w:cs="Times New Roman"/>
        </w:rPr>
      </w:pPr>
      <w:r>
        <w:rPr>
          <w:rFonts w:hint="eastAsia" w:ascii="仿宋" w:hAnsi="仿宋" w:eastAsia="仿宋" w:cs="仿宋"/>
          <w:sz w:val="28"/>
          <w:szCs w:val="28"/>
        </w:rPr>
        <w:t>中国稀土贸易政策几经变迁，相继经历了从出口退税、到出口配额制，再到出口许可证管理制度三个阶段。</w:t>
      </w:r>
      <w:r>
        <w:rPr>
          <w:rFonts w:ascii="仿宋" w:hAnsi="仿宋" w:eastAsia="仿宋" w:cs="仿宋"/>
          <w:sz w:val="28"/>
          <w:szCs w:val="28"/>
        </w:rPr>
        <w:t>2015</w:t>
      </w:r>
      <w:r>
        <w:rPr>
          <w:rFonts w:hint="eastAsia" w:ascii="仿宋" w:hAnsi="仿宋" w:eastAsia="仿宋" w:cs="仿宋"/>
          <w:sz w:val="28"/>
          <w:szCs w:val="28"/>
        </w:rPr>
        <w:t>年，我国取消了稀土产品的出口配额制以及出口关税，实行出口许可证管理制度，即凭出口合同申领出口许可证，无需提供批准文件。至此，我国稀土的出口重回不限资质、不限量的时代，强化了市场调节作用。</w:t>
      </w:r>
    </w:p>
    <w:p>
      <w:pPr>
        <w:pStyle w:val="3"/>
        <w:rPr>
          <w:rFonts w:ascii="仿宋" w:hAnsi="仿宋" w:eastAsia="仿宋" w:cs="Times New Roman"/>
          <w:sz w:val="28"/>
          <w:szCs w:val="28"/>
        </w:rPr>
      </w:pPr>
      <w:bookmarkStart w:id="21" w:name="_Toc70684634"/>
      <w:r>
        <w:rPr>
          <w:rFonts w:hint="eastAsia" w:ascii="仿宋" w:hAnsi="仿宋" w:eastAsia="仿宋" w:cs="仿宋"/>
          <w:sz w:val="28"/>
          <w:szCs w:val="28"/>
        </w:rPr>
        <w:t>（四）钨产业发展现状及趋势</w:t>
      </w:r>
      <w:bookmarkEnd w:id="21"/>
    </w:p>
    <w:p>
      <w:pPr>
        <w:pStyle w:val="4"/>
        <w:spacing w:before="240" w:after="120" w:line="415" w:lineRule="auto"/>
        <w:rPr>
          <w:rFonts w:ascii="仿宋" w:hAnsi="仿宋" w:eastAsia="仿宋" w:cs="Times New Roman"/>
          <w:sz w:val="28"/>
          <w:szCs w:val="28"/>
        </w:rPr>
      </w:pPr>
      <w:bookmarkStart w:id="22" w:name="_Toc70684635"/>
      <w:r>
        <w:rPr>
          <w:rFonts w:ascii="仿宋" w:hAnsi="仿宋" w:eastAsia="仿宋" w:cs="仿宋"/>
          <w:sz w:val="28"/>
          <w:szCs w:val="28"/>
        </w:rPr>
        <w:t>1.</w:t>
      </w:r>
      <w:r>
        <w:rPr>
          <w:rFonts w:hint="eastAsia" w:ascii="仿宋" w:hAnsi="仿宋" w:eastAsia="仿宋" w:cs="仿宋"/>
          <w:sz w:val="28"/>
          <w:szCs w:val="28"/>
        </w:rPr>
        <w:t>国内外钨市场供需关系分析与预测</w:t>
      </w:r>
      <w:bookmarkEnd w:id="22"/>
    </w:p>
    <w:p>
      <w:pPr>
        <w:pStyle w:val="5"/>
        <w:spacing w:before="240" w:after="120" w:line="377" w:lineRule="auto"/>
        <w:rPr>
          <w:rFonts w:ascii="仿宋" w:hAnsi="仿宋" w:eastAsia="仿宋" w:cs="Times New Roman"/>
          <w:color w:val="000000"/>
        </w:rPr>
      </w:pPr>
      <w:r>
        <w:rPr>
          <w:rFonts w:hint="eastAsia" w:ascii="仿宋" w:hAnsi="仿宋" w:eastAsia="仿宋" w:cs="仿宋"/>
          <w:color w:val="000000"/>
        </w:rPr>
        <w:t>（</w:t>
      </w:r>
      <w:r>
        <w:rPr>
          <w:rFonts w:ascii="仿宋" w:hAnsi="仿宋" w:eastAsia="仿宋" w:cs="仿宋"/>
          <w:color w:val="000000"/>
        </w:rPr>
        <w:t>1</w:t>
      </w:r>
      <w:r>
        <w:rPr>
          <w:rFonts w:hint="eastAsia" w:ascii="仿宋" w:hAnsi="仿宋" w:eastAsia="仿宋" w:cs="仿宋"/>
          <w:color w:val="000000"/>
        </w:rPr>
        <w:t>）国内外钨供应现状及预测</w:t>
      </w:r>
    </w:p>
    <w:p>
      <w:pPr>
        <w:spacing w:line="560" w:lineRule="exact"/>
        <w:ind w:firstLine="31680" w:firstLineChars="201"/>
        <w:rPr>
          <w:rFonts w:ascii="仿宋" w:hAnsi="仿宋" w:eastAsia="仿宋" w:cs="Times New Roman"/>
          <w:sz w:val="28"/>
          <w:szCs w:val="28"/>
        </w:rPr>
      </w:pPr>
      <w:r>
        <w:rPr>
          <w:rFonts w:hint="eastAsia" w:ascii="仿宋" w:hAnsi="仿宋" w:eastAsia="仿宋" w:cs="仿宋"/>
          <w:sz w:val="28"/>
          <w:szCs w:val="28"/>
        </w:rPr>
        <w:t>全球钨精矿产量整体呈现缓慢增长态势，从</w:t>
      </w:r>
      <w:r>
        <w:rPr>
          <w:rFonts w:ascii="仿宋" w:hAnsi="仿宋" w:eastAsia="仿宋" w:cs="仿宋"/>
          <w:sz w:val="28"/>
          <w:szCs w:val="28"/>
        </w:rPr>
        <w:t>2016</w:t>
      </w:r>
      <w:r>
        <w:rPr>
          <w:rFonts w:hint="eastAsia" w:ascii="仿宋" w:hAnsi="仿宋" w:eastAsia="仿宋" w:cs="仿宋"/>
          <w:sz w:val="28"/>
          <w:szCs w:val="28"/>
        </w:rPr>
        <w:t>年的</w:t>
      </w:r>
      <w:r>
        <w:rPr>
          <w:rFonts w:ascii="仿宋" w:hAnsi="仿宋" w:eastAsia="仿宋" w:cs="仿宋"/>
          <w:sz w:val="28"/>
          <w:szCs w:val="28"/>
        </w:rPr>
        <w:t>8.6</w:t>
      </w:r>
      <w:r>
        <w:rPr>
          <w:rFonts w:hint="eastAsia" w:ascii="仿宋" w:hAnsi="仿宋" w:eastAsia="仿宋" w:cs="仿宋"/>
          <w:sz w:val="28"/>
          <w:szCs w:val="28"/>
        </w:rPr>
        <w:t>万吨增至</w:t>
      </w:r>
      <w:r>
        <w:rPr>
          <w:rFonts w:ascii="仿宋" w:hAnsi="仿宋" w:eastAsia="仿宋" w:cs="仿宋"/>
          <w:sz w:val="28"/>
          <w:szCs w:val="28"/>
        </w:rPr>
        <w:t>2020</w:t>
      </w:r>
      <w:r>
        <w:rPr>
          <w:rFonts w:hint="eastAsia" w:ascii="仿宋" w:hAnsi="仿宋" w:eastAsia="仿宋" w:cs="仿宋"/>
          <w:sz w:val="28"/>
          <w:szCs w:val="28"/>
        </w:rPr>
        <w:t>年的</w:t>
      </w:r>
      <w:r>
        <w:rPr>
          <w:rFonts w:ascii="仿宋" w:hAnsi="仿宋" w:eastAsia="仿宋" w:cs="仿宋"/>
          <w:sz w:val="28"/>
          <w:szCs w:val="28"/>
        </w:rPr>
        <w:t>8.8</w:t>
      </w:r>
      <w:r>
        <w:rPr>
          <w:rFonts w:hint="eastAsia" w:ascii="仿宋" w:hAnsi="仿宋" w:eastAsia="仿宋" w:cs="仿宋"/>
          <w:sz w:val="28"/>
          <w:szCs w:val="28"/>
        </w:rPr>
        <w:t>万吨（折合金属钨），年均增长率</w:t>
      </w:r>
      <w:r>
        <w:rPr>
          <w:rFonts w:ascii="仿宋" w:hAnsi="仿宋" w:eastAsia="仿宋" w:cs="仿宋"/>
          <w:sz w:val="28"/>
          <w:szCs w:val="28"/>
        </w:rPr>
        <w:t>0.8%</w:t>
      </w:r>
      <w:r>
        <w:rPr>
          <w:rFonts w:hint="eastAsia" w:ascii="仿宋" w:hAnsi="仿宋" w:eastAsia="仿宋" w:cs="仿宋"/>
          <w:sz w:val="28"/>
          <w:szCs w:val="28"/>
        </w:rPr>
        <w:t>。中国是世界主要钨精矿生产国，产量约占全球总量的</w:t>
      </w:r>
      <w:r>
        <w:rPr>
          <w:rFonts w:ascii="仿宋" w:hAnsi="仿宋" w:eastAsia="仿宋" w:cs="仿宋"/>
          <w:sz w:val="28"/>
          <w:szCs w:val="28"/>
        </w:rPr>
        <w:t>80%</w:t>
      </w:r>
      <w:r>
        <w:rPr>
          <w:rFonts w:hint="eastAsia" w:ascii="仿宋" w:hAnsi="仿宋" w:eastAsia="仿宋" w:cs="仿宋"/>
          <w:sz w:val="28"/>
          <w:szCs w:val="28"/>
        </w:rPr>
        <w:t>，其他主要生产国家包括俄罗斯、加拿大、卢旺达和玻利维亚等。由于国外钨矿开采成本高，且中国有源源不断的初级产品输出，为国外消费商提供了廉价的加工原料，因此国外钨资源开发速度非常缓慢。</w:t>
      </w:r>
    </w:p>
    <w:p>
      <w:pPr>
        <w:spacing w:line="560" w:lineRule="exact"/>
        <w:ind w:firstLine="31680" w:firstLineChars="201"/>
        <w:rPr>
          <w:rFonts w:ascii="仿宋" w:hAnsi="仿宋" w:eastAsia="仿宋" w:cs="Times New Roman"/>
          <w:sz w:val="28"/>
          <w:szCs w:val="28"/>
        </w:rPr>
      </w:pPr>
      <w:r>
        <w:rPr>
          <w:rFonts w:hint="eastAsia" w:ascii="仿宋" w:hAnsi="仿宋" w:eastAsia="仿宋" w:cs="仿宋"/>
          <w:sz w:val="28"/>
          <w:szCs w:val="28"/>
        </w:rPr>
        <w:t>国内分区域看，钨精矿的生产主要集中在江西、湖南和河南，</w:t>
      </w:r>
      <w:r>
        <w:rPr>
          <w:rFonts w:ascii="仿宋" w:hAnsi="仿宋" w:eastAsia="仿宋" w:cs="仿宋"/>
          <w:sz w:val="28"/>
          <w:szCs w:val="28"/>
        </w:rPr>
        <w:t>2010</w:t>
      </w:r>
      <w:r>
        <w:rPr>
          <w:rFonts w:hint="eastAsia" w:ascii="仿宋" w:hAnsi="仿宋" w:eastAsia="仿宋" w:cs="仿宋"/>
          <w:sz w:val="28"/>
          <w:szCs w:val="28"/>
        </w:rPr>
        <w:t>年以后江西产量小幅增长，而湖南产量增长较快，随着副产钨产量增加，河南产量增长迅速，已经成为仅次于江西和湖南的主要钨产地。</w:t>
      </w:r>
      <w:r>
        <w:rPr>
          <w:rFonts w:ascii="仿宋" w:hAnsi="仿宋" w:eastAsia="仿宋" w:cs="仿宋"/>
          <w:sz w:val="28"/>
          <w:szCs w:val="28"/>
        </w:rPr>
        <w:t>2020</w:t>
      </w:r>
      <w:r>
        <w:rPr>
          <w:rFonts w:hint="eastAsia" w:ascii="仿宋" w:hAnsi="仿宋" w:eastAsia="仿宋" w:cs="仿宋"/>
          <w:sz w:val="28"/>
          <w:szCs w:val="28"/>
        </w:rPr>
        <w:t>年上述三省产量合计</w:t>
      </w:r>
      <w:r>
        <w:rPr>
          <w:rFonts w:ascii="仿宋" w:hAnsi="仿宋" w:eastAsia="仿宋" w:cs="仿宋"/>
          <w:sz w:val="28"/>
          <w:szCs w:val="28"/>
        </w:rPr>
        <w:t>6</w:t>
      </w:r>
      <w:r>
        <w:rPr>
          <w:rFonts w:hint="eastAsia" w:ascii="仿宋" w:hAnsi="仿宋" w:eastAsia="仿宋" w:cs="仿宋"/>
          <w:sz w:val="28"/>
          <w:szCs w:val="28"/>
        </w:rPr>
        <w:t>万吨（折金属钨），占全国总产量的</w:t>
      </w:r>
      <w:r>
        <w:rPr>
          <w:rFonts w:ascii="仿宋" w:hAnsi="仿宋" w:eastAsia="仿宋" w:cs="仿宋"/>
          <w:sz w:val="28"/>
          <w:szCs w:val="28"/>
        </w:rPr>
        <w:t>86%</w:t>
      </w:r>
      <w:r>
        <w:rPr>
          <w:rFonts w:hint="eastAsia" w:ascii="仿宋" w:hAnsi="仿宋" w:eastAsia="仿宋" w:cs="仿宋"/>
          <w:sz w:val="28"/>
          <w:szCs w:val="28"/>
        </w:rPr>
        <w:t>。</w:t>
      </w:r>
    </w:p>
    <w:p>
      <w:pPr>
        <w:spacing w:line="560" w:lineRule="exact"/>
        <w:ind w:firstLine="31680" w:firstLineChars="201"/>
        <w:rPr>
          <w:rFonts w:ascii="仿宋" w:hAnsi="仿宋" w:eastAsia="仿宋" w:cs="Times New Roman"/>
          <w:sz w:val="28"/>
          <w:szCs w:val="28"/>
        </w:rPr>
      </w:pPr>
      <w:r>
        <w:rPr>
          <w:rFonts w:hint="eastAsia" w:ascii="仿宋" w:hAnsi="仿宋" w:eastAsia="仿宋" w:cs="仿宋"/>
          <w:sz w:val="28"/>
          <w:szCs w:val="28"/>
        </w:rPr>
        <w:t>目前，国内已形成四大钨矿生产集团：江钨控股集团、五矿有色、厦门钨业及洛钼集团。江钨集团旗下有</w:t>
      </w:r>
      <w:r>
        <w:rPr>
          <w:rFonts w:ascii="仿宋" w:hAnsi="仿宋" w:eastAsia="仿宋" w:cs="仿宋"/>
          <w:sz w:val="28"/>
          <w:szCs w:val="28"/>
        </w:rPr>
        <w:t>10</w:t>
      </w:r>
      <w:r>
        <w:rPr>
          <w:rFonts w:hint="eastAsia" w:ascii="仿宋" w:hAnsi="仿宋" w:eastAsia="仿宋" w:cs="仿宋"/>
          <w:sz w:val="28"/>
          <w:szCs w:val="28"/>
        </w:rPr>
        <w:t>个矿山，年产量约</w:t>
      </w:r>
      <w:r>
        <w:rPr>
          <w:rFonts w:ascii="仿宋" w:hAnsi="仿宋" w:eastAsia="仿宋" w:cs="仿宋"/>
          <w:sz w:val="28"/>
          <w:szCs w:val="28"/>
        </w:rPr>
        <w:t>0.6</w:t>
      </w:r>
      <w:r>
        <w:rPr>
          <w:rFonts w:hint="eastAsia" w:ascii="仿宋" w:hAnsi="仿宋" w:eastAsia="仿宋" w:cs="仿宋"/>
          <w:sz w:val="28"/>
          <w:szCs w:val="28"/>
        </w:rPr>
        <w:t>万吨钨。五矿旗下包括香炉山钨矿、柿竹园有色金属公司、瑶岗仙钨业、新田岭钨业以及远景钨业等，年产量约</w:t>
      </w:r>
      <w:r>
        <w:rPr>
          <w:rFonts w:ascii="仿宋" w:hAnsi="仿宋" w:eastAsia="仿宋" w:cs="仿宋"/>
          <w:sz w:val="28"/>
          <w:szCs w:val="28"/>
        </w:rPr>
        <w:t>1</w:t>
      </w:r>
      <w:r>
        <w:rPr>
          <w:rFonts w:hint="eastAsia" w:ascii="仿宋" w:hAnsi="仿宋" w:eastAsia="仿宋" w:cs="仿宋"/>
          <w:sz w:val="28"/>
          <w:szCs w:val="28"/>
        </w:rPr>
        <w:t>万吨钨；厦门钨业也是主要的钨精矿生产企业，有福建宁化行洛坑钨矿、江西都昌金鼎矿业及洛阳豫鹭矿业公司，年产量合计约</w:t>
      </w:r>
      <w:r>
        <w:rPr>
          <w:rFonts w:ascii="仿宋" w:hAnsi="仿宋" w:eastAsia="仿宋" w:cs="仿宋"/>
          <w:sz w:val="28"/>
          <w:szCs w:val="28"/>
        </w:rPr>
        <w:t>0.5</w:t>
      </w:r>
      <w:r>
        <w:rPr>
          <w:rFonts w:hint="eastAsia" w:ascii="仿宋" w:hAnsi="仿宋" w:eastAsia="仿宋" w:cs="仿宋"/>
          <w:sz w:val="28"/>
          <w:szCs w:val="28"/>
        </w:rPr>
        <w:t>万吨钨。此外，洛钼集团是尾矿回收钨的主要企业，年产量约</w:t>
      </w:r>
      <w:r>
        <w:rPr>
          <w:rFonts w:ascii="仿宋" w:hAnsi="仿宋" w:eastAsia="仿宋" w:cs="仿宋"/>
          <w:sz w:val="28"/>
          <w:szCs w:val="28"/>
        </w:rPr>
        <w:t>0.5</w:t>
      </w:r>
      <w:r>
        <w:rPr>
          <w:rFonts w:hint="eastAsia" w:ascii="仿宋" w:hAnsi="仿宋" w:eastAsia="仿宋" w:cs="仿宋"/>
          <w:sz w:val="28"/>
          <w:szCs w:val="28"/>
        </w:rPr>
        <w:t>万吨钨。</w:t>
      </w:r>
    </w:p>
    <w:p>
      <w:pPr>
        <w:adjustRightInd w:val="0"/>
        <w:snapToGrid w:val="0"/>
        <w:spacing w:beforeLines="50"/>
        <w:jc w:val="center"/>
        <w:rPr>
          <w:rFonts w:ascii="黑体" w:hAnsi="黑体" w:eastAsia="黑体" w:cs="Times New Roman"/>
        </w:rPr>
      </w:pPr>
      <w:r>
        <w:rPr>
          <w:rFonts w:hint="eastAsia" w:ascii="黑体" w:hAnsi="黑体" w:eastAsia="黑体" w:cs="黑体"/>
        </w:rPr>
        <w:t>表</w:t>
      </w:r>
      <w:r>
        <w:rPr>
          <w:rFonts w:ascii="黑体" w:hAnsi="黑体" w:eastAsia="黑体" w:cs="黑体"/>
        </w:rPr>
        <w:t>2-9  2016-2020</w:t>
      </w:r>
      <w:r>
        <w:rPr>
          <w:rFonts w:hint="eastAsia" w:ascii="黑体" w:hAnsi="黑体" w:eastAsia="黑体" w:cs="黑体"/>
        </w:rPr>
        <w:t>年全球钨产量（单位：吨金属量）</w:t>
      </w:r>
    </w:p>
    <w:tbl>
      <w:tblPr>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
      <w:tblGrid>
        <w:gridCol w:w="1819"/>
        <w:gridCol w:w="1543"/>
        <w:gridCol w:w="1482"/>
        <w:gridCol w:w="1482"/>
        <w:gridCol w:w="1482"/>
        <w:gridCol w:w="1478"/>
      </w:tblGrid>
      <w:tr>
        <w:trPr>
          <w:trHeight w:val="90" w:hRule="atLeast"/>
          <w:jc w:val="center"/>
        </w:trPr>
        <w:tc>
          <w:tcPr>
            <w:tcW w:w="1819" w:type="dxa"/>
            <w:shd w:val="clear" w:color="auto" w:fill="D9D9D9"/>
            <w:vAlign w:val="center"/>
          </w:tcPr>
          <w:p>
            <w:pPr>
              <w:jc w:val="center"/>
              <w:rPr>
                <w:rFonts w:ascii="Times New Roman" w:hAnsi="Times New Roman" w:cs="Times New Roman"/>
                <w:b/>
                <w:bCs/>
              </w:rPr>
            </w:pPr>
            <w:r>
              <w:rPr>
                <w:rFonts w:hint="eastAsia" w:ascii="Times New Roman" w:hAnsi="Times New Roman" w:cs="宋体"/>
                <w:b/>
                <w:bCs/>
              </w:rPr>
              <w:t>国家</w:t>
            </w:r>
          </w:p>
        </w:tc>
        <w:tc>
          <w:tcPr>
            <w:tcW w:w="1543" w:type="dxa"/>
            <w:shd w:val="clear" w:color="auto" w:fill="D9D9D9"/>
            <w:vAlign w:val="top"/>
          </w:tcPr>
          <w:p>
            <w:pPr>
              <w:jc w:val="center"/>
              <w:rPr>
                <w:rFonts w:ascii="Times New Roman" w:hAnsi="Times New Roman" w:cs="Times New Roman"/>
                <w:b/>
                <w:bCs/>
              </w:rPr>
            </w:pPr>
            <w:r>
              <w:rPr>
                <w:rFonts w:ascii="Times New Roman" w:hAnsi="Times New Roman" w:cs="Times New Roman"/>
                <w:b/>
                <w:bCs/>
              </w:rPr>
              <w:t>2016</w:t>
            </w:r>
            <w:r>
              <w:rPr>
                <w:rFonts w:hint="eastAsia" w:ascii="Times New Roman" w:hAnsi="Times New Roman" w:cs="宋体"/>
                <w:b/>
                <w:bCs/>
              </w:rPr>
              <w:t>年</w:t>
            </w:r>
          </w:p>
        </w:tc>
        <w:tc>
          <w:tcPr>
            <w:tcW w:w="1482" w:type="dxa"/>
            <w:shd w:val="clear" w:color="auto" w:fill="D9D9D9"/>
            <w:vAlign w:val="top"/>
          </w:tcPr>
          <w:p>
            <w:pPr>
              <w:jc w:val="center"/>
              <w:rPr>
                <w:rFonts w:ascii="Times New Roman" w:hAnsi="Times New Roman" w:cs="Times New Roman"/>
                <w:b/>
                <w:bCs/>
              </w:rPr>
            </w:pPr>
            <w:r>
              <w:rPr>
                <w:rFonts w:ascii="Times New Roman" w:hAnsi="Times New Roman" w:cs="Times New Roman"/>
                <w:b/>
                <w:bCs/>
              </w:rPr>
              <w:t>2017</w:t>
            </w:r>
          </w:p>
        </w:tc>
        <w:tc>
          <w:tcPr>
            <w:tcW w:w="1482" w:type="dxa"/>
            <w:shd w:val="clear" w:color="auto" w:fill="D9D9D9"/>
            <w:vAlign w:val="top"/>
          </w:tcPr>
          <w:p>
            <w:pPr>
              <w:jc w:val="center"/>
              <w:rPr>
                <w:rFonts w:ascii="Times New Roman" w:hAnsi="Times New Roman" w:cs="Times New Roman"/>
                <w:b/>
                <w:bCs/>
              </w:rPr>
            </w:pPr>
            <w:r>
              <w:rPr>
                <w:rFonts w:ascii="Times New Roman" w:hAnsi="Times New Roman" w:cs="Times New Roman"/>
                <w:b/>
                <w:bCs/>
              </w:rPr>
              <w:t>2018</w:t>
            </w:r>
          </w:p>
        </w:tc>
        <w:tc>
          <w:tcPr>
            <w:tcW w:w="1482" w:type="dxa"/>
            <w:shd w:val="clear" w:color="auto" w:fill="D9D9D9"/>
            <w:vAlign w:val="top"/>
          </w:tcPr>
          <w:p>
            <w:pPr>
              <w:jc w:val="center"/>
              <w:rPr>
                <w:rFonts w:ascii="Times New Roman" w:hAnsi="Times New Roman" w:cs="Times New Roman"/>
                <w:b/>
                <w:bCs/>
              </w:rPr>
            </w:pPr>
            <w:r>
              <w:rPr>
                <w:rFonts w:ascii="Times New Roman" w:hAnsi="Times New Roman" w:cs="Times New Roman"/>
                <w:b/>
                <w:bCs/>
              </w:rPr>
              <w:t xml:space="preserve">2019 </w:t>
            </w:r>
          </w:p>
        </w:tc>
        <w:tc>
          <w:tcPr>
            <w:tcW w:w="1478" w:type="dxa"/>
            <w:shd w:val="clear" w:color="auto" w:fill="D9D9D9"/>
            <w:vAlign w:val="top"/>
          </w:tcPr>
          <w:p>
            <w:pPr>
              <w:jc w:val="center"/>
              <w:rPr>
                <w:rFonts w:ascii="Times New Roman" w:hAnsi="Times New Roman" w:cs="Times New Roman"/>
                <w:b/>
                <w:bCs/>
              </w:rPr>
            </w:pPr>
            <w:r>
              <w:rPr>
                <w:rFonts w:ascii="Times New Roman" w:hAnsi="Times New Roman" w:cs="Times New Roman"/>
                <w:b/>
                <w:bCs/>
              </w:rPr>
              <w:t xml:space="preserve">2020 </w:t>
            </w:r>
          </w:p>
        </w:tc>
      </w:tr>
      <w:tr>
        <w:trPr>
          <w:trHeight w:val="270" w:hRule="atLeast"/>
          <w:jc w:val="center"/>
        </w:trPr>
        <w:tc>
          <w:tcPr>
            <w:tcW w:w="1819" w:type="dxa"/>
            <w:vAlign w:val="center"/>
          </w:tcPr>
          <w:p>
            <w:pPr>
              <w:jc w:val="center"/>
              <w:rPr>
                <w:rFonts w:ascii="Times New Roman" w:hAnsi="Times New Roman" w:cs="Times New Roman"/>
              </w:rPr>
            </w:pPr>
            <w:r>
              <w:rPr>
                <w:rFonts w:hint="eastAsia" w:ascii="Times New Roman" w:hAnsi="Times New Roman" w:cs="宋体"/>
              </w:rPr>
              <w:t>中国</w:t>
            </w:r>
          </w:p>
        </w:tc>
        <w:tc>
          <w:tcPr>
            <w:tcW w:w="1543" w:type="dxa"/>
            <w:vAlign w:val="center"/>
          </w:tcPr>
          <w:p>
            <w:pPr>
              <w:jc w:val="center"/>
              <w:rPr>
                <w:rFonts w:ascii="Times New Roman" w:hAnsi="Times New Roman" w:cs="Times New Roman"/>
              </w:rPr>
            </w:pPr>
            <w:r>
              <w:rPr>
                <w:rFonts w:ascii="Times New Roman" w:hAnsi="Times New Roman" w:cs="Times New Roman"/>
              </w:rPr>
              <w:t>71,926</w:t>
            </w:r>
          </w:p>
        </w:tc>
        <w:tc>
          <w:tcPr>
            <w:tcW w:w="1482" w:type="dxa"/>
            <w:vAlign w:val="center"/>
          </w:tcPr>
          <w:p>
            <w:pPr>
              <w:jc w:val="center"/>
              <w:rPr>
                <w:rFonts w:ascii="Times New Roman" w:hAnsi="Times New Roman" w:cs="Times New Roman"/>
              </w:rPr>
            </w:pPr>
            <w:r>
              <w:rPr>
                <w:rFonts w:ascii="Times New Roman" w:hAnsi="Times New Roman" w:cs="Times New Roman"/>
              </w:rPr>
              <w:t>71,675</w:t>
            </w:r>
          </w:p>
        </w:tc>
        <w:tc>
          <w:tcPr>
            <w:tcW w:w="1482" w:type="dxa"/>
            <w:vAlign w:val="center"/>
          </w:tcPr>
          <w:p>
            <w:pPr>
              <w:jc w:val="center"/>
              <w:rPr>
                <w:rFonts w:ascii="Times New Roman" w:hAnsi="Times New Roman" w:cs="Times New Roman"/>
              </w:rPr>
            </w:pPr>
            <w:r>
              <w:rPr>
                <w:rFonts w:ascii="Times New Roman" w:hAnsi="Times New Roman" w:cs="Times New Roman"/>
              </w:rPr>
              <w:t>72,000</w:t>
            </w:r>
          </w:p>
        </w:tc>
        <w:tc>
          <w:tcPr>
            <w:tcW w:w="1482" w:type="dxa"/>
            <w:vAlign w:val="center"/>
          </w:tcPr>
          <w:p>
            <w:pPr>
              <w:jc w:val="center"/>
              <w:rPr>
                <w:rFonts w:ascii="Times New Roman" w:hAnsi="Times New Roman" w:cs="Times New Roman"/>
              </w:rPr>
            </w:pPr>
            <w:r>
              <w:rPr>
                <w:rFonts w:ascii="Times New Roman" w:hAnsi="Times New Roman" w:cs="Times New Roman"/>
              </w:rPr>
              <w:t>71,500</w:t>
            </w:r>
          </w:p>
        </w:tc>
        <w:tc>
          <w:tcPr>
            <w:tcW w:w="1478" w:type="dxa"/>
            <w:vAlign w:val="center"/>
          </w:tcPr>
          <w:p>
            <w:pPr>
              <w:jc w:val="center"/>
              <w:rPr>
                <w:rFonts w:ascii="Times New Roman" w:hAnsi="Times New Roman" w:cs="Times New Roman"/>
              </w:rPr>
            </w:pPr>
            <w:r>
              <w:rPr>
                <w:rFonts w:ascii="Times New Roman" w:hAnsi="Times New Roman" w:cs="Times New Roman"/>
              </w:rPr>
              <w:t>70,000</w:t>
            </w:r>
          </w:p>
        </w:tc>
      </w:tr>
      <w:tr>
        <w:trPr>
          <w:trHeight w:val="270" w:hRule="atLeast"/>
          <w:jc w:val="center"/>
        </w:trPr>
        <w:tc>
          <w:tcPr>
            <w:tcW w:w="1819" w:type="dxa"/>
            <w:vAlign w:val="center"/>
          </w:tcPr>
          <w:p>
            <w:pPr>
              <w:jc w:val="center"/>
              <w:rPr>
                <w:rFonts w:ascii="Times New Roman" w:hAnsi="Times New Roman" w:cs="Times New Roman"/>
              </w:rPr>
            </w:pPr>
            <w:r>
              <w:rPr>
                <w:rFonts w:hint="eastAsia" w:ascii="Times New Roman" w:hAnsi="Times New Roman" w:cs="宋体"/>
              </w:rPr>
              <w:t>其他国家</w:t>
            </w:r>
          </w:p>
        </w:tc>
        <w:tc>
          <w:tcPr>
            <w:tcW w:w="1543" w:type="dxa"/>
            <w:vAlign w:val="center"/>
          </w:tcPr>
          <w:p>
            <w:pPr>
              <w:jc w:val="center"/>
              <w:rPr>
                <w:rFonts w:ascii="Times New Roman" w:hAnsi="Times New Roman" w:cs="Times New Roman"/>
              </w:rPr>
            </w:pPr>
            <w:r>
              <w:rPr>
                <w:rFonts w:ascii="Times New Roman" w:hAnsi="Times New Roman" w:cs="Times New Roman"/>
              </w:rPr>
              <w:t>14,507</w:t>
            </w:r>
          </w:p>
        </w:tc>
        <w:tc>
          <w:tcPr>
            <w:tcW w:w="1482" w:type="dxa"/>
            <w:vAlign w:val="center"/>
          </w:tcPr>
          <w:p>
            <w:pPr>
              <w:jc w:val="center"/>
              <w:rPr>
                <w:rFonts w:ascii="Times New Roman" w:hAnsi="Times New Roman" w:cs="Times New Roman"/>
              </w:rPr>
            </w:pPr>
            <w:r>
              <w:rPr>
                <w:rFonts w:ascii="Times New Roman" w:hAnsi="Times New Roman" w:cs="Times New Roman"/>
              </w:rPr>
              <w:t>15,320</w:t>
            </w:r>
          </w:p>
        </w:tc>
        <w:tc>
          <w:tcPr>
            <w:tcW w:w="1482" w:type="dxa"/>
            <w:vAlign w:val="center"/>
          </w:tcPr>
          <w:p>
            <w:pPr>
              <w:jc w:val="center"/>
              <w:rPr>
                <w:rFonts w:ascii="Times New Roman" w:hAnsi="Times New Roman" w:cs="Times New Roman"/>
              </w:rPr>
            </w:pPr>
            <w:r>
              <w:rPr>
                <w:rFonts w:ascii="Times New Roman" w:hAnsi="Times New Roman" w:cs="Times New Roman"/>
              </w:rPr>
              <w:t>16,000</w:t>
            </w:r>
          </w:p>
        </w:tc>
        <w:tc>
          <w:tcPr>
            <w:tcW w:w="1482" w:type="dxa"/>
            <w:vAlign w:val="center"/>
          </w:tcPr>
          <w:p>
            <w:pPr>
              <w:jc w:val="center"/>
              <w:rPr>
                <w:rFonts w:ascii="Times New Roman" w:hAnsi="Times New Roman" w:cs="Times New Roman"/>
              </w:rPr>
            </w:pPr>
            <w:r>
              <w:rPr>
                <w:rFonts w:ascii="Times New Roman" w:hAnsi="Times New Roman" w:cs="Times New Roman"/>
              </w:rPr>
              <w:t>16,200</w:t>
            </w:r>
          </w:p>
        </w:tc>
        <w:tc>
          <w:tcPr>
            <w:tcW w:w="1478" w:type="dxa"/>
            <w:vAlign w:val="center"/>
          </w:tcPr>
          <w:p>
            <w:pPr>
              <w:jc w:val="center"/>
              <w:rPr>
                <w:rFonts w:ascii="Times New Roman" w:hAnsi="Times New Roman" w:cs="Times New Roman"/>
              </w:rPr>
            </w:pPr>
            <w:r>
              <w:rPr>
                <w:rFonts w:ascii="Times New Roman" w:hAnsi="Times New Roman" w:cs="Times New Roman"/>
              </w:rPr>
              <w:t>18,000</w:t>
            </w:r>
          </w:p>
        </w:tc>
      </w:tr>
      <w:tr>
        <w:trPr>
          <w:trHeight w:val="270" w:hRule="atLeast"/>
          <w:jc w:val="center"/>
        </w:trPr>
        <w:tc>
          <w:tcPr>
            <w:tcW w:w="1819" w:type="dxa"/>
            <w:vAlign w:val="center"/>
          </w:tcPr>
          <w:p>
            <w:pPr>
              <w:jc w:val="center"/>
              <w:rPr>
                <w:rFonts w:ascii="Times New Roman" w:hAnsi="Times New Roman" w:cs="Times New Roman"/>
                <w:b/>
                <w:bCs/>
              </w:rPr>
            </w:pPr>
            <w:r>
              <w:rPr>
                <w:rFonts w:hint="eastAsia" w:ascii="Times New Roman" w:hAnsi="Times New Roman" w:cs="宋体"/>
                <w:b/>
                <w:bCs/>
              </w:rPr>
              <w:t>全球总计</w:t>
            </w:r>
          </w:p>
        </w:tc>
        <w:tc>
          <w:tcPr>
            <w:tcW w:w="1543" w:type="dxa"/>
            <w:vAlign w:val="center"/>
          </w:tcPr>
          <w:p>
            <w:pPr>
              <w:jc w:val="center"/>
              <w:rPr>
                <w:rFonts w:ascii="Times New Roman" w:hAnsi="Times New Roman" w:cs="Times New Roman"/>
                <w:b/>
                <w:bCs/>
              </w:rPr>
            </w:pPr>
            <w:r>
              <w:rPr>
                <w:rFonts w:ascii="Times New Roman" w:hAnsi="Times New Roman" w:cs="Times New Roman"/>
                <w:b/>
                <w:bCs/>
              </w:rPr>
              <w:t>86,433</w:t>
            </w:r>
          </w:p>
        </w:tc>
        <w:tc>
          <w:tcPr>
            <w:tcW w:w="1482" w:type="dxa"/>
            <w:vAlign w:val="center"/>
          </w:tcPr>
          <w:p>
            <w:pPr>
              <w:jc w:val="center"/>
              <w:rPr>
                <w:rFonts w:ascii="Times New Roman" w:hAnsi="Times New Roman" w:cs="Times New Roman"/>
                <w:b/>
                <w:bCs/>
              </w:rPr>
            </w:pPr>
            <w:r>
              <w:rPr>
                <w:rFonts w:ascii="Times New Roman" w:hAnsi="Times New Roman" w:cs="Times New Roman"/>
                <w:b/>
                <w:bCs/>
              </w:rPr>
              <w:t>86,995</w:t>
            </w:r>
          </w:p>
        </w:tc>
        <w:tc>
          <w:tcPr>
            <w:tcW w:w="1482" w:type="dxa"/>
            <w:vAlign w:val="center"/>
          </w:tcPr>
          <w:p>
            <w:pPr>
              <w:jc w:val="center"/>
              <w:rPr>
                <w:rFonts w:ascii="Times New Roman" w:hAnsi="Times New Roman" w:cs="Times New Roman"/>
                <w:b/>
                <w:bCs/>
              </w:rPr>
            </w:pPr>
            <w:r>
              <w:rPr>
                <w:rFonts w:ascii="Times New Roman" w:hAnsi="Times New Roman" w:cs="Times New Roman"/>
                <w:b/>
                <w:bCs/>
              </w:rPr>
              <w:t>88,000</w:t>
            </w:r>
          </w:p>
        </w:tc>
        <w:tc>
          <w:tcPr>
            <w:tcW w:w="1482" w:type="dxa"/>
            <w:vAlign w:val="center"/>
          </w:tcPr>
          <w:p>
            <w:pPr>
              <w:jc w:val="center"/>
              <w:rPr>
                <w:rFonts w:ascii="Times New Roman" w:hAnsi="Times New Roman" w:cs="Times New Roman"/>
                <w:b/>
                <w:bCs/>
              </w:rPr>
            </w:pPr>
            <w:r>
              <w:rPr>
                <w:rFonts w:ascii="Times New Roman" w:hAnsi="Times New Roman" w:cs="Times New Roman"/>
                <w:b/>
                <w:bCs/>
              </w:rPr>
              <w:t>87,700</w:t>
            </w:r>
          </w:p>
        </w:tc>
        <w:tc>
          <w:tcPr>
            <w:tcW w:w="1478" w:type="dxa"/>
            <w:vAlign w:val="center"/>
          </w:tcPr>
          <w:p>
            <w:pPr>
              <w:jc w:val="center"/>
              <w:rPr>
                <w:rFonts w:ascii="Times New Roman" w:hAnsi="Times New Roman" w:cs="Times New Roman"/>
                <w:b/>
                <w:bCs/>
              </w:rPr>
            </w:pPr>
            <w:r>
              <w:rPr>
                <w:rFonts w:ascii="Times New Roman" w:hAnsi="Times New Roman" w:cs="Times New Roman"/>
                <w:b/>
                <w:bCs/>
              </w:rPr>
              <w:t>88,800</w:t>
            </w:r>
          </w:p>
        </w:tc>
      </w:tr>
      <w:tr>
        <w:trPr>
          <w:trHeight w:val="270" w:hRule="atLeast"/>
          <w:jc w:val="center"/>
        </w:trPr>
        <w:tc>
          <w:tcPr>
            <w:tcW w:w="1819" w:type="dxa"/>
            <w:vAlign w:val="center"/>
          </w:tcPr>
          <w:p>
            <w:pPr>
              <w:jc w:val="center"/>
              <w:rPr>
                <w:rFonts w:ascii="Times New Roman" w:hAnsi="Times New Roman" w:cs="Times New Roman"/>
              </w:rPr>
            </w:pPr>
            <w:r>
              <w:rPr>
                <w:rFonts w:hint="eastAsia" w:ascii="Times New Roman" w:hAnsi="Times New Roman" w:cs="宋体"/>
              </w:rPr>
              <w:t>同比增长</w:t>
            </w:r>
          </w:p>
        </w:tc>
        <w:tc>
          <w:tcPr>
            <w:tcW w:w="1543" w:type="dxa"/>
            <w:vAlign w:val="center"/>
          </w:tcPr>
          <w:p>
            <w:pPr>
              <w:jc w:val="center"/>
              <w:rPr>
                <w:rFonts w:ascii="Times New Roman" w:hAnsi="Times New Roman" w:cs="Times New Roman"/>
              </w:rPr>
            </w:pPr>
            <w:r>
              <w:rPr>
                <w:rFonts w:ascii="Times New Roman" w:hAnsi="Times New Roman" w:cs="Times New Roman"/>
              </w:rPr>
              <w:t>-0.42%</w:t>
            </w:r>
          </w:p>
        </w:tc>
        <w:tc>
          <w:tcPr>
            <w:tcW w:w="1482" w:type="dxa"/>
            <w:vAlign w:val="center"/>
          </w:tcPr>
          <w:p>
            <w:pPr>
              <w:jc w:val="center"/>
              <w:rPr>
                <w:rFonts w:ascii="Times New Roman" w:hAnsi="Times New Roman" w:cs="Times New Roman"/>
              </w:rPr>
            </w:pPr>
            <w:r>
              <w:rPr>
                <w:rFonts w:ascii="Times New Roman" w:hAnsi="Times New Roman" w:cs="Times New Roman"/>
              </w:rPr>
              <w:t>0.65%</w:t>
            </w:r>
          </w:p>
        </w:tc>
        <w:tc>
          <w:tcPr>
            <w:tcW w:w="1482" w:type="dxa"/>
            <w:vAlign w:val="center"/>
          </w:tcPr>
          <w:p>
            <w:pPr>
              <w:jc w:val="center"/>
              <w:rPr>
                <w:rFonts w:ascii="Times New Roman" w:hAnsi="Times New Roman" w:cs="Times New Roman"/>
              </w:rPr>
            </w:pPr>
            <w:r>
              <w:rPr>
                <w:rFonts w:ascii="Times New Roman" w:hAnsi="Times New Roman" w:cs="Times New Roman"/>
              </w:rPr>
              <w:t>1.16%</w:t>
            </w:r>
          </w:p>
        </w:tc>
        <w:tc>
          <w:tcPr>
            <w:tcW w:w="1482" w:type="dxa"/>
            <w:vAlign w:val="center"/>
          </w:tcPr>
          <w:p>
            <w:pPr>
              <w:jc w:val="center"/>
              <w:rPr>
                <w:rFonts w:ascii="Times New Roman" w:hAnsi="Times New Roman" w:cs="Times New Roman"/>
              </w:rPr>
            </w:pPr>
            <w:r>
              <w:rPr>
                <w:rFonts w:ascii="Times New Roman" w:hAnsi="Times New Roman" w:cs="Times New Roman"/>
              </w:rPr>
              <w:t>-0.34%</w:t>
            </w:r>
          </w:p>
        </w:tc>
        <w:tc>
          <w:tcPr>
            <w:tcW w:w="1478" w:type="dxa"/>
            <w:vAlign w:val="center"/>
          </w:tcPr>
          <w:p>
            <w:pPr>
              <w:jc w:val="center"/>
              <w:rPr>
                <w:rFonts w:ascii="Times New Roman" w:hAnsi="Times New Roman" w:cs="Times New Roman"/>
              </w:rPr>
            </w:pPr>
            <w:r>
              <w:rPr>
                <w:rFonts w:ascii="Times New Roman" w:hAnsi="Times New Roman" w:cs="Times New Roman"/>
              </w:rPr>
              <w:t>1.25%</w:t>
            </w:r>
          </w:p>
        </w:tc>
      </w:tr>
      <w:tr>
        <w:trPr>
          <w:trHeight w:val="270" w:hRule="atLeast"/>
          <w:jc w:val="center"/>
        </w:trPr>
        <w:tc>
          <w:tcPr>
            <w:tcW w:w="1819" w:type="dxa"/>
            <w:vAlign w:val="center"/>
          </w:tcPr>
          <w:p>
            <w:pPr>
              <w:jc w:val="center"/>
              <w:rPr>
                <w:rFonts w:ascii="Times New Roman" w:hAnsi="Times New Roman" w:cs="Times New Roman"/>
              </w:rPr>
            </w:pPr>
            <w:r>
              <w:rPr>
                <w:rFonts w:hint="eastAsia" w:ascii="Times New Roman" w:hAnsi="Times New Roman" w:cs="宋体"/>
              </w:rPr>
              <w:t>中国占比</w:t>
            </w:r>
          </w:p>
        </w:tc>
        <w:tc>
          <w:tcPr>
            <w:tcW w:w="1543" w:type="dxa"/>
            <w:vAlign w:val="center"/>
          </w:tcPr>
          <w:p>
            <w:pPr>
              <w:jc w:val="center"/>
              <w:rPr>
                <w:rFonts w:ascii="Times New Roman" w:hAnsi="Times New Roman" w:cs="Times New Roman"/>
              </w:rPr>
            </w:pPr>
            <w:r>
              <w:rPr>
                <w:rFonts w:ascii="Times New Roman" w:hAnsi="Times New Roman" w:cs="Times New Roman"/>
              </w:rPr>
              <w:t>83.22%</w:t>
            </w:r>
          </w:p>
        </w:tc>
        <w:tc>
          <w:tcPr>
            <w:tcW w:w="1482" w:type="dxa"/>
            <w:vAlign w:val="center"/>
          </w:tcPr>
          <w:p>
            <w:pPr>
              <w:jc w:val="center"/>
              <w:rPr>
                <w:rFonts w:ascii="Times New Roman" w:hAnsi="Times New Roman" w:cs="Times New Roman"/>
              </w:rPr>
            </w:pPr>
            <w:r>
              <w:rPr>
                <w:rFonts w:ascii="Times New Roman" w:hAnsi="Times New Roman" w:cs="Times New Roman"/>
              </w:rPr>
              <w:t>82.39%</w:t>
            </w:r>
          </w:p>
        </w:tc>
        <w:tc>
          <w:tcPr>
            <w:tcW w:w="1482" w:type="dxa"/>
            <w:vAlign w:val="center"/>
          </w:tcPr>
          <w:p>
            <w:pPr>
              <w:jc w:val="center"/>
              <w:rPr>
                <w:rFonts w:ascii="Times New Roman" w:hAnsi="Times New Roman" w:cs="Times New Roman"/>
              </w:rPr>
            </w:pPr>
            <w:r>
              <w:rPr>
                <w:rFonts w:ascii="Times New Roman" w:hAnsi="Times New Roman" w:cs="Times New Roman"/>
              </w:rPr>
              <w:t>81.82%</w:t>
            </w:r>
          </w:p>
        </w:tc>
        <w:tc>
          <w:tcPr>
            <w:tcW w:w="1482" w:type="dxa"/>
            <w:vAlign w:val="center"/>
          </w:tcPr>
          <w:p>
            <w:pPr>
              <w:jc w:val="center"/>
              <w:rPr>
                <w:rFonts w:ascii="Times New Roman" w:hAnsi="Times New Roman" w:cs="Times New Roman"/>
              </w:rPr>
            </w:pPr>
            <w:r>
              <w:rPr>
                <w:rFonts w:ascii="Times New Roman" w:hAnsi="Times New Roman" w:cs="Times New Roman"/>
              </w:rPr>
              <w:t>81.53%</w:t>
            </w:r>
          </w:p>
        </w:tc>
        <w:tc>
          <w:tcPr>
            <w:tcW w:w="1478" w:type="dxa"/>
            <w:vAlign w:val="center"/>
          </w:tcPr>
          <w:p>
            <w:pPr>
              <w:jc w:val="center"/>
              <w:rPr>
                <w:rFonts w:ascii="Times New Roman" w:hAnsi="Times New Roman" w:cs="Times New Roman"/>
              </w:rPr>
            </w:pPr>
            <w:r>
              <w:rPr>
                <w:rFonts w:ascii="Times New Roman" w:hAnsi="Times New Roman" w:cs="Times New Roman"/>
              </w:rPr>
              <w:t>78.83%</w:t>
            </w:r>
          </w:p>
        </w:tc>
      </w:tr>
    </w:tbl>
    <w:p>
      <w:pPr>
        <w:spacing w:afterLines="50"/>
        <w:ind w:firstLine="31680" w:firstLineChars="135"/>
        <w:rPr>
          <w:rFonts w:ascii="楷体" w:hAnsi="楷体" w:eastAsia="楷体" w:cs="Times New Roman"/>
        </w:rPr>
      </w:pPr>
      <w:r>
        <w:rPr>
          <w:rFonts w:hint="eastAsia" w:ascii="楷体" w:hAnsi="楷体" w:eastAsia="楷体" w:cs="楷体"/>
        </w:rPr>
        <w:t>数据来源：安泰科</w:t>
      </w:r>
      <w:r>
        <w:rPr>
          <w:rFonts w:ascii="楷体" w:hAnsi="楷体" w:eastAsia="楷体" w:cs="楷体"/>
        </w:rPr>
        <w:t>,</w:t>
      </w:r>
      <w:r>
        <w:rPr>
          <w:rFonts w:hint="eastAsia" w:ascii="楷体" w:hAnsi="楷体" w:eastAsia="楷体" w:cs="楷体"/>
        </w:rPr>
        <w:t>中国有色金属工业协会，国际钨协，数据有修正。</w:t>
      </w:r>
    </w:p>
    <w:p>
      <w:pPr>
        <w:spacing w:line="560" w:lineRule="exact"/>
        <w:ind w:firstLine="31680" w:firstLineChars="201"/>
        <w:rPr>
          <w:rFonts w:ascii="仿宋" w:hAnsi="仿宋" w:eastAsia="仿宋" w:cs="Times New Roman"/>
          <w:sz w:val="28"/>
          <w:szCs w:val="28"/>
        </w:rPr>
      </w:pPr>
      <w:r>
        <w:rPr>
          <w:rFonts w:hint="eastAsia" w:ascii="仿宋" w:hAnsi="仿宋" w:eastAsia="仿宋" w:cs="仿宋"/>
          <w:sz w:val="28"/>
          <w:szCs w:val="28"/>
        </w:rPr>
        <w:t>受新冠疫情影响，</w:t>
      </w:r>
      <w:r>
        <w:rPr>
          <w:rFonts w:ascii="仿宋" w:hAnsi="仿宋" w:eastAsia="仿宋" w:cs="仿宋"/>
          <w:sz w:val="28"/>
          <w:szCs w:val="28"/>
        </w:rPr>
        <w:t>2020</w:t>
      </w:r>
      <w:r>
        <w:rPr>
          <w:rFonts w:hint="eastAsia" w:ascii="仿宋" w:hAnsi="仿宋" w:eastAsia="仿宋" w:cs="仿宋"/>
          <w:sz w:val="28"/>
          <w:szCs w:val="28"/>
        </w:rPr>
        <w:t>年我国钨矿产量下降至</w:t>
      </w:r>
      <w:r>
        <w:rPr>
          <w:rFonts w:ascii="仿宋" w:hAnsi="仿宋" w:eastAsia="仿宋" w:cs="仿宋"/>
          <w:sz w:val="28"/>
          <w:szCs w:val="28"/>
        </w:rPr>
        <w:t>7</w:t>
      </w:r>
      <w:r>
        <w:rPr>
          <w:rFonts w:hint="eastAsia" w:ascii="仿宋" w:hAnsi="仿宋" w:eastAsia="仿宋" w:cs="仿宋"/>
          <w:sz w:val="28"/>
          <w:szCs w:val="28"/>
        </w:rPr>
        <w:t>万吨，</w:t>
      </w:r>
      <w:r>
        <w:rPr>
          <w:rFonts w:ascii="仿宋" w:hAnsi="仿宋" w:eastAsia="仿宋" w:cs="仿宋"/>
          <w:sz w:val="28"/>
          <w:szCs w:val="28"/>
        </w:rPr>
        <w:t>2021</w:t>
      </w:r>
      <w:r>
        <w:rPr>
          <w:rFonts w:hint="eastAsia" w:ascii="仿宋" w:hAnsi="仿宋" w:eastAsia="仿宋" w:cs="仿宋"/>
          <w:sz w:val="28"/>
          <w:szCs w:val="28"/>
        </w:rPr>
        <w:t>年将恢复增长。但在政府对战略资源保护和产量控制的监管下，未来几年钨产量将保持平稳，国内钨精矿年产量将维持在</w:t>
      </w:r>
      <w:r>
        <w:rPr>
          <w:rFonts w:ascii="仿宋" w:hAnsi="仿宋" w:eastAsia="仿宋" w:cs="仿宋"/>
          <w:sz w:val="28"/>
          <w:szCs w:val="28"/>
        </w:rPr>
        <w:t>7</w:t>
      </w:r>
      <w:r>
        <w:rPr>
          <w:rFonts w:hint="eastAsia" w:ascii="仿宋" w:hAnsi="仿宋" w:eastAsia="仿宋" w:cs="仿宋"/>
          <w:sz w:val="28"/>
          <w:szCs w:val="28"/>
        </w:rPr>
        <w:t>万吨左右，随消费的缓慢提高，国家也将缓慢提高产量指标，但增长幅度有限。</w:t>
      </w:r>
    </w:p>
    <w:p>
      <w:pPr>
        <w:spacing w:line="560" w:lineRule="exact"/>
        <w:ind w:firstLine="31680" w:firstLineChars="201"/>
        <w:rPr>
          <w:rFonts w:ascii="仿宋" w:hAnsi="仿宋" w:eastAsia="仿宋" w:cs="Times New Roman"/>
          <w:sz w:val="28"/>
          <w:szCs w:val="28"/>
        </w:rPr>
      </w:pPr>
      <w:r>
        <w:rPr>
          <w:rFonts w:hint="eastAsia" w:ascii="仿宋" w:hAnsi="仿宋" w:eastAsia="仿宋" w:cs="仿宋"/>
          <w:sz w:val="28"/>
          <w:szCs w:val="28"/>
        </w:rPr>
        <w:t>中国之外总产量基本稳定，但国家结构有变化。有些项目因为亏损而停产，与此同时有些新建项目，弥补了停产所造成的产量损失。</w:t>
      </w:r>
      <w:r>
        <w:rPr>
          <w:rFonts w:ascii="仿宋" w:hAnsi="仿宋" w:eastAsia="仿宋" w:cs="仿宋"/>
          <w:sz w:val="28"/>
          <w:szCs w:val="28"/>
        </w:rPr>
        <w:t>2015</w:t>
      </w:r>
      <w:r>
        <w:rPr>
          <w:rFonts w:hint="eastAsia" w:ascii="仿宋" w:hAnsi="仿宋" w:eastAsia="仿宋" w:cs="仿宋"/>
          <w:sz w:val="28"/>
          <w:szCs w:val="28"/>
        </w:rPr>
        <w:t>年，加拿大</w:t>
      </w:r>
      <w:r>
        <w:rPr>
          <w:rFonts w:ascii="仿宋" w:hAnsi="仿宋" w:eastAsia="仿宋" w:cs="仿宋"/>
          <w:sz w:val="28"/>
          <w:szCs w:val="28"/>
        </w:rPr>
        <w:t xml:space="preserve">Cantung </w:t>
      </w:r>
      <w:r>
        <w:rPr>
          <w:rFonts w:hint="eastAsia" w:ascii="仿宋" w:hAnsi="仿宋" w:eastAsia="仿宋" w:cs="仿宋"/>
          <w:sz w:val="28"/>
          <w:szCs w:val="28"/>
        </w:rPr>
        <w:t>钨矿关停；</w:t>
      </w:r>
      <w:r>
        <w:rPr>
          <w:rFonts w:ascii="仿宋" w:hAnsi="仿宋" w:eastAsia="仿宋" w:cs="仿宋"/>
          <w:sz w:val="28"/>
          <w:szCs w:val="28"/>
        </w:rPr>
        <w:t>2018</w:t>
      </w:r>
      <w:r>
        <w:rPr>
          <w:rFonts w:hint="eastAsia" w:ascii="仿宋" w:hAnsi="仿宋" w:eastAsia="仿宋" w:cs="仿宋"/>
          <w:sz w:val="28"/>
          <w:szCs w:val="28"/>
        </w:rPr>
        <w:t>年英国</w:t>
      </w:r>
      <w:r>
        <w:rPr>
          <w:rFonts w:ascii="仿宋" w:hAnsi="仿宋" w:eastAsia="仿宋" w:cs="仿宋"/>
          <w:sz w:val="28"/>
          <w:szCs w:val="28"/>
        </w:rPr>
        <w:t>Drakelands</w:t>
      </w:r>
      <w:r>
        <w:rPr>
          <w:rFonts w:hint="eastAsia" w:ascii="仿宋" w:hAnsi="仿宋" w:eastAsia="仿宋" w:cs="仿宋"/>
          <w:sz w:val="28"/>
          <w:szCs w:val="28"/>
        </w:rPr>
        <w:t>项目停产，此项目以前也长时间停产，在</w:t>
      </w:r>
      <w:r>
        <w:rPr>
          <w:rFonts w:ascii="仿宋" w:hAnsi="仿宋" w:eastAsia="仿宋" w:cs="仿宋"/>
          <w:sz w:val="28"/>
          <w:szCs w:val="28"/>
        </w:rPr>
        <w:t>2015</w:t>
      </w:r>
      <w:r>
        <w:rPr>
          <w:rFonts w:hint="eastAsia" w:ascii="仿宋" w:hAnsi="仿宋" w:eastAsia="仿宋" w:cs="仿宋"/>
          <w:sz w:val="28"/>
          <w:szCs w:val="28"/>
        </w:rPr>
        <w:t>年复产。新建项目主要在澳大利亚、韩国和哈萨克斯坦。预计</w:t>
      </w:r>
      <w:r>
        <w:rPr>
          <w:rFonts w:ascii="仿宋" w:hAnsi="仿宋" w:eastAsia="仿宋" w:cs="仿宋"/>
          <w:sz w:val="28"/>
          <w:szCs w:val="28"/>
        </w:rPr>
        <w:t>2025</w:t>
      </w:r>
      <w:r>
        <w:rPr>
          <w:rFonts w:hint="eastAsia" w:ascii="仿宋" w:hAnsi="仿宋" w:eastAsia="仿宋" w:cs="仿宋"/>
          <w:sz w:val="28"/>
          <w:szCs w:val="28"/>
        </w:rPr>
        <w:t>年国外钨精矿产量约</w:t>
      </w:r>
      <w:r>
        <w:rPr>
          <w:rFonts w:ascii="仿宋" w:hAnsi="仿宋" w:eastAsia="仿宋" w:cs="仿宋"/>
          <w:sz w:val="28"/>
          <w:szCs w:val="28"/>
        </w:rPr>
        <w:t>2</w:t>
      </w:r>
      <w:r>
        <w:rPr>
          <w:rFonts w:hint="eastAsia" w:ascii="仿宋" w:hAnsi="仿宋" w:eastAsia="仿宋" w:cs="仿宋"/>
          <w:sz w:val="28"/>
          <w:szCs w:val="28"/>
        </w:rPr>
        <w:t>万吨，全球钨精矿产量将达到</w:t>
      </w:r>
      <w:r>
        <w:rPr>
          <w:rFonts w:ascii="仿宋" w:hAnsi="仿宋" w:eastAsia="仿宋" w:cs="仿宋"/>
          <w:sz w:val="28"/>
          <w:szCs w:val="28"/>
        </w:rPr>
        <w:t>9.6</w:t>
      </w:r>
      <w:r>
        <w:rPr>
          <w:rFonts w:hint="eastAsia" w:ascii="仿宋" w:hAnsi="仿宋" w:eastAsia="仿宋" w:cs="仿宋"/>
          <w:sz w:val="28"/>
          <w:szCs w:val="28"/>
        </w:rPr>
        <w:t>万吨。</w:t>
      </w:r>
    </w:p>
    <w:p>
      <w:pPr>
        <w:adjustRightInd w:val="0"/>
        <w:snapToGrid w:val="0"/>
        <w:spacing w:beforeLines="50"/>
        <w:jc w:val="center"/>
        <w:rPr>
          <w:rFonts w:ascii="黑体" w:hAnsi="黑体" w:eastAsia="黑体" w:cs="Times New Roman"/>
        </w:rPr>
      </w:pPr>
      <w:r>
        <w:rPr>
          <w:rFonts w:hint="eastAsia" w:ascii="黑体" w:hAnsi="黑体" w:eastAsia="黑体" w:cs="黑体"/>
        </w:rPr>
        <w:t>表</w:t>
      </w:r>
      <w:r>
        <w:rPr>
          <w:rFonts w:ascii="黑体" w:hAnsi="黑体" w:eastAsia="黑体" w:cs="黑体"/>
        </w:rPr>
        <w:t>2-10  2021-2025</w:t>
      </w:r>
      <w:r>
        <w:rPr>
          <w:rFonts w:hint="eastAsia" w:ascii="黑体" w:hAnsi="黑体" w:eastAsia="黑体" w:cs="黑体"/>
        </w:rPr>
        <w:t>年全球钨精矿产量及预测</w:t>
      </w:r>
      <w:r>
        <w:rPr>
          <w:rFonts w:ascii="黑体" w:hAnsi="黑体" w:eastAsia="黑体" w:cs="黑体"/>
        </w:rPr>
        <w:t xml:space="preserve"> </w:t>
      </w:r>
      <w:r>
        <w:rPr>
          <w:rFonts w:hint="eastAsia" w:ascii="黑体" w:hAnsi="黑体" w:eastAsia="黑体" w:cs="黑体"/>
        </w:rPr>
        <w:t>（单位：吨金属量）</w:t>
      </w:r>
    </w:p>
    <w:tbl>
      <w:tblPr>
        <w:tblW w:w="928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
      <w:tblGrid>
        <w:gridCol w:w="1492"/>
        <w:gridCol w:w="1496"/>
        <w:gridCol w:w="1577"/>
        <w:gridCol w:w="1577"/>
        <w:gridCol w:w="1573"/>
        <w:gridCol w:w="1571"/>
      </w:tblGrid>
      <w:tr>
        <w:trPr>
          <w:trHeight w:val="285" w:hRule="atLeast"/>
          <w:jc w:val="center"/>
        </w:trPr>
        <w:tc>
          <w:tcPr>
            <w:tcW w:w="1492" w:type="dxa"/>
            <w:shd w:val="clear" w:color="auto" w:fill="D9D9D9"/>
            <w:vAlign w:val="center"/>
          </w:tcPr>
          <w:p>
            <w:pPr>
              <w:autoSpaceDN w:val="0"/>
              <w:textAlignment w:val="center"/>
              <w:rPr>
                <w:rFonts w:ascii="Times New Roman" w:hAnsi="Times New Roman" w:cs="Times New Roman"/>
                <w:b/>
                <w:bCs/>
              </w:rPr>
            </w:pPr>
          </w:p>
        </w:tc>
        <w:tc>
          <w:tcPr>
            <w:tcW w:w="1496" w:type="dxa"/>
            <w:shd w:val="clear" w:color="auto" w:fill="D9D9D9"/>
            <w:vAlign w:val="center"/>
          </w:tcPr>
          <w:p>
            <w:pPr>
              <w:autoSpaceDN w:val="0"/>
              <w:jc w:val="center"/>
              <w:textAlignment w:val="bottom"/>
              <w:rPr>
                <w:rFonts w:ascii="Times New Roman" w:hAnsi="Times New Roman" w:cs="Times New Roman"/>
                <w:b/>
                <w:bCs/>
              </w:rPr>
            </w:pPr>
            <w:r>
              <w:rPr>
                <w:rFonts w:ascii="Times New Roman" w:hAnsi="Times New Roman" w:cs="Times New Roman"/>
                <w:b/>
                <w:bCs/>
              </w:rPr>
              <w:t>2021</w:t>
            </w:r>
          </w:p>
        </w:tc>
        <w:tc>
          <w:tcPr>
            <w:tcW w:w="1577" w:type="dxa"/>
            <w:shd w:val="clear" w:color="auto" w:fill="D9D9D9"/>
            <w:vAlign w:val="center"/>
          </w:tcPr>
          <w:p>
            <w:pPr>
              <w:autoSpaceDN w:val="0"/>
              <w:jc w:val="center"/>
              <w:textAlignment w:val="bottom"/>
              <w:rPr>
                <w:rFonts w:ascii="Times New Roman" w:hAnsi="Times New Roman" w:cs="Times New Roman"/>
                <w:b/>
                <w:bCs/>
              </w:rPr>
            </w:pPr>
            <w:r>
              <w:rPr>
                <w:rFonts w:ascii="Times New Roman" w:hAnsi="Times New Roman" w:cs="Times New Roman"/>
                <w:b/>
                <w:bCs/>
              </w:rPr>
              <w:t>2022</w:t>
            </w:r>
          </w:p>
        </w:tc>
        <w:tc>
          <w:tcPr>
            <w:tcW w:w="1577" w:type="dxa"/>
            <w:shd w:val="clear" w:color="auto" w:fill="D9D9D9"/>
            <w:vAlign w:val="center"/>
          </w:tcPr>
          <w:p>
            <w:pPr>
              <w:autoSpaceDN w:val="0"/>
              <w:jc w:val="center"/>
              <w:textAlignment w:val="bottom"/>
              <w:rPr>
                <w:rFonts w:ascii="Times New Roman" w:hAnsi="Times New Roman" w:cs="Times New Roman"/>
                <w:b/>
                <w:bCs/>
              </w:rPr>
            </w:pPr>
            <w:r>
              <w:rPr>
                <w:rFonts w:ascii="Times New Roman" w:hAnsi="Times New Roman" w:cs="Times New Roman"/>
                <w:b/>
                <w:bCs/>
              </w:rPr>
              <w:t>2023</w:t>
            </w:r>
          </w:p>
        </w:tc>
        <w:tc>
          <w:tcPr>
            <w:tcW w:w="1573" w:type="dxa"/>
            <w:shd w:val="clear" w:color="auto" w:fill="D9D9D9"/>
            <w:vAlign w:val="center"/>
          </w:tcPr>
          <w:p>
            <w:pPr>
              <w:autoSpaceDN w:val="0"/>
              <w:jc w:val="center"/>
              <w:textAlignment w:val="bottom"/>
              <w:rPr>
                <w:rFonts w:ascii="Times New Roman" w:hAnsi="Times New Roman" w:cs="Times New Roman"/>
                <w:b/>
                <w:bCs/>
              </w:rPr>
            </w:pPr>
            <w:r>
              <w:rPr>
                <w:rFonts w:ascii="Times New Roman" w:hAnsi="Times New Roman" w:cs="Times New Roman"/>
                <w:b/>
                <w:bCs/>
              </w:rPr>
              <w:t>2024</w:t>
            </w:r>
          </w:p>
        </w:tc>
        <w:tc>
          <w:tcPr>
            <w:tcW w:w="1571" w:type="dxa"/>
            <w:shd w:val="clear" w:color="auto" w:fill="D9D9D9"/>
            <w:vAlign w:val="center"/>
          </w:tcPr>
          <w:p>
            <w:pPr>
              <w:autoSpaceDN w:val="0"/>
              <w:jc w:val="center"/>
              <w:textAlignment w:val="bottom"/>
              <w:rPr>
                <w:rFonts w:ascii="Times New Roman" w:hAnsi="Times New Roman" w:cs="Times New Roman"/>
                <w:b/>
                <w:bCs/>
              </w:rPr>
            </w:pPr>
            <w:r>
              <w:rPr>
                <w:rFonts w:ascii="Times New Roman" w:hAnsi="Times New Roman" w:cs="Times New Roman"/>
                <w:b/>
                <w:bCs/>
              </w:rPr>
              <w:t>2025</w:t>
            </w:r>
          </w:p>
        </w:tc>
      </w:tr>
      <w:tr>
        <w:trPr>
          <w:trHeight w:val="315" w:hRule="atLeast"/>
          <w:jc w:val="center"/>
        </w:trPr>
        <w:tc>
          <w:tcPr>
            <w:tcW w:w="1492" w:type="dxa"/>
            <w:vAlign w:val="center"/>
          </w:tcPr>
          <w:p>
            <w:pPr>
              <w:autoSpaceDN w:val="0"/>
              <w:textAlignment w:val="center"/>
              <w:rPr>
                <w:rFonts w:ascii="Times New Roman" w:hAnsi="Times New Roman" w:cs="Times New Roman"/>
              </w:rPr>
            </w:pPr>
            <w:r>
              <w:rPr>
                <w:rFonts w:hint="eastAsia" w:ascii="Times New Roman" w:hAnsi="Times New Roman" w:cs="宋体"/>
              </w:rPr>
              <w:t>中国产量</w:t>
            </w:r>
          </w:p>
        </w:tc>
        <w:tc>
          <w:tcPr>
            <w:tcW w:w="1496" w:type="dxa"/>
            <w:vAlign w:val="center"/>
          </w:tcPr>
          <w:p>
            <w:pPr>
              <w:jc w:val="center"/>
              <w:rPr>
                <w:rFonts w:ascii="Times New Roman" w:hAnsi="Times New Roman" w:cs="Times New Roman"/>
              </w:rPr>
            </w:pPr>
            <w:r>
              <w:rPr>
                <w:rFonts w:ascii="Times New Roman" w:hAnsi="Times New Roman" w:eastAsia="等线" w:cs="Times New Roman"/>
                <w:color w:val="000000"/>
              </w:rPr>
              <w:t>71,400</w:t>
            </w:r>
          </w:p>
        </w:tc>
        <w:tc>
          <w:tcPr>
            <w:tcW w:w="1577" w:type="dxa"/>
            <w:vAlign w:val="center"/>
          </w:tcPr>
          <w:p>
            <w:pPr>
              <w:jc w:val="center"/>
              <w:rPr>
                <w:rFonts w:ascii="Times New Roman" w:hAnsi="Times New Roman" w:cs="Times New Roman"/>
              </w:rPr>
            </w:pPr>
            <w:r>
              <w:rPr>
                <w:rFonts w:ascii="Times New Roman" w:hAnsi="Times New Roman" w:eastAsia="等线" w:cs="Times New Roman"/>
                <w:color w:val="000000"/>
              </w:rPr>
              <w:t>72,828</w:t>
            </w:r>
          </w:p>
        </w:tc>
        <w:tc>
          <w:tcPr>
            <w:tcW w:w="1577" w:type="dxa"/>
            <w:vAlign w:val="center"/>
          </w:tcPr>
          <w:p>
            <w:pPr>
              <w:jc w:val="center"/>
              <w:rPr>
                <w:rFonts w:ascii="Times New Roman" w:hAnsi="Times New Roman" w:cs="Times New Roman"/>
              </w:rPr>
            </w:pPr>
            <w:r>
              <w:rPr>
                <w:rFonts w:ascii="Times New Roman" w:hAnsi="Times New Roman" w:eastAsia="等线" w:cs="Times New Roman"/>
                <w:color w:val="000000"/>
              </w:rPr>
              <w:t>73,556</w:t>
            </w:r>
          </w:p>
        </w:tc>
        <w:tc>
          <w:tcPr>
            <w:tcW w:w="1573" w:type="dxa"/>
            <w:vAlign w:val="center"/>
          </w:tcPr>
          <w:p>
            <w:pPr>
              <w:jc w:val="center"/>
              <w:rPr>
                <w:rFonts w:ascii="Times New Roman" w:hAnsi="Times New Roman" w:cs="Times New Roman"/>
              </w:rPr>
            </w:pPr>
            <w:r>
              <w:rPr>
                <w:rFonts w:ascii="Times New Roman" w:hAnsi="Times New Roman" w:eastAsia="等线" w:cs="Times New Roman"/>
                <w:color w:val="000000"/>
              </w:rPr>
              <w:t>74,292</w:t>
            </w:r>
          </w:p>
        </w:tc>
        <w:tc>
          <w:tcPr>
            <w:tcW w:w="1571" w:type="dxa"/>
            <w:vAlign w:val="center"/>
          </w:tcPr>
          <w:p>
            <w:pPr>
              <w:jc w:val="center"/>
              <w:rPr>
                <w:rFonts w:ascii="Times New Roman" w:hAnsi="Times New Roman" w:cs="Times New Roman"/>
              </w:rPr>
            </w:pPr>
            <w:r>
              <w:rPr>
                <w:rFonts w:ascii="Times New Roman" w:hAnsi="Times New Roman" w:eastAsia="等线" w:cs="Times New Roman"/>
                <w:color w:val="000000"/>
              </w:rPr>
              <w:t>75,035</w:t>
            </w:r>
          </w:p>
        </w:tc>
      </w:tr>
      <w:tr>
        <w:trPr>
          <w:trHeight w:val="275" w:hRule="atLeast"/>
          <w:jc w:val="center"/>
        </w:trPr>
        <w:tc>
          <w:tcPr>
            <w:tcW w:w="1492" w:type="dxa"/>
            <w:vAlign w:val="center"/>
          </w:tcPr>
          <w:p>
            <w:pPr>
              <w:autoSpaceDN w:val="0"/>
              <w:textAlignment w:val="center"/>
              <w:rPr>
                <w:rFonts w:ascii="Times New Roman" w:hAnsi="Times New Roman" w:cs="Times New Roman"/>
              </w:rPr>
            </w:pPr>
            <w:r>
              <w:rPr>
                <w:rFonts w:hint="eastAsia" w:ascii="Times New Roman" w:hAnsi="Times New Roman" w:cs="宋体"/>
              </w:rPr>
              <w:t>其他区域</w:t>
            </w:r>
          </w:p>
        </w:tc>
        <w:tc>
          <w:tcPr>
            <w:tcW w:w="1496" w:type="dxa"/>
            <w:vAlign w:val="center"/>
          </w:tcPr>
          <w:p>
            <w:pPr>
              <w:jc w:val="center"/>
              <w:rPr>
                <w:rFonts w:ascii="Times New Roman" w:hAnsi="Times New Roman" w:cs="Times New Roman"/>
              </w:rPr>
            </w:pPr>
            <w:r>
              <w:rPr>
                <w:rFonts w:ascii="Times New Roman" w:hAnsi="Times New Roman" w:eastAsia="等线" w:cs="Times New Roman"/>
                <w:color w:val="000000"/>
              </w:rPr>
              <w:t>19,000</w:t>
            </w:r>
          </w:p>
        </w:tc>
        <w:tc>
          <w:tcPr>
            <w:tcW w:w="1577" w:type="dxa"/>
            <w:vAlign w:val="center"/>
          </w:tcPr>
          <w:p>
            <w:pPr>
              <w:jc w:val="center"/>
              <w:rPr>
                <w:rFonts w:ascii="Times New Roman" w:hAnsi="Times New Roman" w:cs="Times New Roman"/>
              </w:rPr>
            </w:pPr>
            <w:r>
              <w:rPr>
                <w:rFonts w:ascii="Times New Roman" w:hAnsi="Times New Roman" w:eastAsia="等线" w:cs="Times New Roman"/>
                <w:color w:val="000000"/>
              </w:rPr>
              <w:t>20,000</w:t>
            </w:r>
          </w:p>
        </w:tc>
        <w:tc>
          <w:tcPr>
            <w:tcW w:w="1577" w:type="dxa"/>
            <w:vAlign w:val="center"/>
          </w:tcPr>
          <w:p>
            <w:pPr>
              <w:jc w:val="center"/>
              <w:rPr>
                <w:rFonts w:ascii="Times New Roman" w:hAnsi="Times New Roman" w:cs="Times New Roman"/>
              </w:rPr>
            </w:pPr>
            <w:r>
              <w:rPr>
                <w:rFonts w:ascii="Times New Roman" w:hAnsi="Times New Roman" w:eastAsia="等线" w:cs="Times New Roman"/>
                <w:color w:val="000000"/>
              </w:rPr>
              <w:t>20,200</w:t>
            </w:r>
          </w:p>
        </w:tc>
        <w:tc>
          <w:tcPr>
            <w:tcW w:w="1573" w:type="dxa"/>
            <w:vAlign w:val="center"/>
          </w:tcPr>
          <w:p>
            <w:pPr>
              <w:jc w:val="center"/>
              <w:rPr>
                <w:rFonts w:ascii="Times New Roman" w:hAnsi="Times New Roman" w:cs="Times New Roman"/>
              </w:rPr>
            </w:pPr>
            <w:r>
              <w:rPr>
                <w:rFonts w:ascii="Times New Roman" w:hAnsi="Times New Roman" w:eastAsia="等线" w:cs="Times New Roman"/>
                <w:color w:val="000000"/>
              </w:rPr>
              <w:t>20,402</w:t>
            </w:r>
          </w:p>
        </w:tc>
        <w:tc>
          <w:tcPr>
            <w:tcW w:w="1571" w:type="dxa"/>
            <w:vAlign w:val="center"/>
          </w:tcPr>
          <w:p>
            <w:pPr>
              <w:jc w:val="center"/>
              <w:rPr>
                <w:rFonts w:ascii="Times New Roman" w:hAnsi="Times New Roman" w:cs="Times New Roman"/>
              </w:rPr>
            </w:pPr>
            <w:r>
              <w:rPr>
                <w:rFonts w:ascii="Times New Roman" w:hAnsi="Times New Roman" w:eastAsia="等线" w:cs="Times New Roman"/>
                <w:color w:val="000000"/>
              </w:rPr>
              <w:t>20,606</w:t>
            </w:r>
          </w:p>
        </w:tc>
      </w:tr>
      <w:tr>
        <w:trPr>
          <w:trHeight w:val="315" w:hRule="atLeast"/>
          <w:jc w:val="center"/>
        </w:trPr>
        <w:tc>
          <w:tcPr>
            <w:tcW w:w="1492" w:type="dxa"/>
            <w:vAlign w:val="center"/>
          </w:tcPr>
          <w:p>
            <w:pPr>
              <w:autoSpaceDN w:val="0"/>
              <w:textAlignment w:val="center"/>
              <w:rPr>
                <w:rFonts w:ascii="Times New Roman" w:hAnsi="Times New Roman" w:cs="Times New Roman"/>
                <w:b/>
                <w:bCs/>
              </w:rPr>
            </w:pPr>
            <w:r>
              <w:rPr>
                <w:rFonts w:hint="eastAsia" w:ascii="Times New Roman" w:hAnsi="Times New Roman" w:cs="宋体"/>
                <w:b/>
                <w:bCs/>
              </w:rPr>
              <w:t>全球总计</w:t>
            </w:r>
          </w:p>
        </w:tc>
        <w:tc>
          <w:tcPr>
            <w:tcW w:w="1496" w:type="dxa"/>
            <w:vAlign w:val="center"/>
          </w:tcPr>
          <w:p>
            <w:pPr>
              <w:jc w:val="center"/>
              <w:rPr>
                <w:rFonts w:ascii="Times New Roman" w:hAnsi="Times New Roman" w:cs="Times New Roman"/>
                <w:b/>
                <w:bCs/>
              </w:rPr>
            </w:pPr>
            <w:r>
              <w:rPr>
                <w:rFonts w:ascii="Times New Roman" w:hAnsi="Times New Roman" w:eastAsia="等线" w:cs="Times New Roman"/>
                <w:b/>
                <w:bCs/>
                <w:color w:val="000000"/>
              </w:rPr>
              <w:t>90,400</w:t>
            </w:r>
          </w:p>
        </w:tc>
        <w:tc>
          <w:tcPr>
            <w:tcW w:w="1577" w:type="dxa"/>
            <w:vAlign w:val="center"/>
          </w:tcPr>
          <w:p>
            <w:pPr>
              <w:jc w:val="center"/>
              <w:rPr>
                <w:rFonts w:ascii="Times New Roman" w:hAnsi="Times New Roman" w:cs="Times New Roman"/>
                <w:b/>
                <w:bCs/>
              </w:rPr>
            </w:pPr>
            <w:r>
              <w:rPr>
                <w:rFonts w:ascii="Times New Roman" w:hAnsi="Times New Roman" w:eastAsia="等线" w:cs="Times New Roman"/>
                <w:b/>
                <w:bCs/>
                <w:color w:val="000000"/>
              </w:rPr>
              <w:t>92,828</w:t>
            </w:r>
          </w:p>
        </w:tc>
        <w:tc>
          <w:tcPr>
            <w:tcW w:w="1577" w:type="dxa"/>
            <w:vAlign w:val="center"/>
          </w:tcPr>
          <w:p>
            <w:pPr>
              <w:jc w:val="center"/>
              <w:rPr>
                <w:rFonts w:ascii="Times New Roman" w:hAnsi="Times New Roman" w:cs="Times New Roman"/>
                <w:b/>
                <w:bCs/>
              </w:rPr>
            </w:pPr>
            <w:r>
              <w:rPr>
                <w:rFonts w:ascii="Times New Roman" w:hAnsi="Times New Roman" w:eastAsia="等线" w:cs="Times New Roman"/>
                <w:b/>
                <w:bCs/>
                <w:color w:val="000000"/>
              </w:rPr>
              <w:t>93,756</w:t>
            </w:r>
          </w:p>
        </w:tc>
        <w:tc>
          <w:tcPr>
            <w:tcW w:w="1573" w:type="dxa"/>
            <w:vAlign w:val="center"/>
          </w:tcPr>
          <w:p>
            <w:pPr>
              <w:jc w:val="center"/>
              <w:rPr>
                <w:rFonts w:ascii="Times New Roman" w:hAnsi="Times New Roman" w:cs="Times New Roman"/>
                <w:b/>
                <w:bCs/>
              </w:rPr>
            </w:pPr>
            <w:r>
              <w:rPr>
                <w:rFonts w:ascii="Times New Roman" w:hAnsi="Times New Roman" w:eastAsia="等线" w:cs="Times New Roman"/>
                <w:b/>
                <w:bCs/>
                <w:color w:val="000000"/>
              </w:rPr>
              <w:t>94,694</w:t>
            </w:r>
          </w:p>
        </w:tc>
        <w:tc>
          <w:tcPr>
            <w:tcW w:w="1571" w:type="dxa"/>
            <w:vAlign w:val="center"/>
          </w:tcPr>
          <w:p>
            <w:pPr>
              <w:jc w:val="center"/>
              <w:rPr>
                <w:rFonts w:ascii="Times New Roman" w:hAnsi="Times New Roman" w:cs="Times New Roman"/>
                <w:b/>
                <w:bCs/>
              </w:rPr>
            </w:pPr>
            <w:r>
              <w:rPr>
                <w:rFonts w:ascii="Times New Roman" w:hAnsi="Times New Roman" w:eastAsia="等线" w:cs="Times New Roman"/>
                <w:b/>
                <w:bCs/>
                <w:color w:val="000000"/>
              </w:rPr>
              <w:t>95,641</w:t>
            </w:r>
          </w:p>
        </w:tc>
      </w:tr>
    </w:tbl>
    <w:p>
      <w:pPr>
        <w:spacing w:afterLines="50"/>
        <w:ind w:firstLine="31680" w:firstLineChars="135"/>
        <w:rPr>
          <w:rFonts w:ascii="楷体" w:hAnsi="楷体" w:eastAsia="楷体" w:cs="楷体"/>
        </w:rPr>
      </w:pPr>
      <w:r>
        <w:rPr>
          <w:rFonts w:hint="eastAsia" w:ascii="楷体" w:hAnsi="楷体" w:eastAsia="楷体" w:cs="楷体"/>
        </w:rPr>
        <w:t>数据来源：安泰科预计</w:t>
      </w:r>
      <w:r>
        <w:rPr>
          <w:rFonts w:ascii="楷体" w:hAnsi="楷体" w:eastAsia="楷体" w:cs="楷体"/>
        </w:rPr>
        <w:t xml:space="preserve"> </w:t>
      </w:r>
    </w:p>
    <w:p>
      <w:pPr>
        <w:pStyle w:val="5"/>
        <w:spacing w:before="240" w:after="120" w:line="377" w:lineRule="auto"/>
        <w:rPr>
          <w:rFonts w:ascii="仿宋" w:hAnsi="仿宋" w:eastAsia="仿宋" w:cs="Times New Roman"/>
        </w:rPr>
      </w:pPr>
      <w:r>
        <w:rPr>
          <w:rFonts w:hint="eastAsia" w:ascii="仿宋" w:hAnsi="仿宋" w:eastAsia="仿宋" w:cs="仿宋"/>
        </w:rPr>
        <w:t>（</w:t>
      </w:r>
      <w:r>
        <w:rPr>
          <w:rFonts w:ascii="仿宋" w:hAnsi="仿宋" w:eastAsia="仿宋" w:cs="仿宋"/>
        </w:rPr>
        <w:t>2</w:t>
      </w:r>
      <w:r>
        <w:rPr>
          <w:rFonts w:hint="eastAsia" w:ascii="仿宋" w:hAnsi="仿宋" w:eastAsia="仿宋" w:cs="仿宋"/>
        </w:rPr>
        <w:t>）国内外钨消费现状及预测</w:t>
      </w:r>
    </w:p>
    <w:p>
      <w:pPr>
        <w:spacing w:line="560" w:lineRule="exact"/>
        <w:ind w:firstLine="31680" w:firstLineChars="201"/>
        <w:rPr>
          <w:rFonts w:ascii="仿宋" w:hAnsi="仿宋" w:eastAsia="仿宋" w:cs="Times New Roman"/>
          <w:sz w:val="28"/>
          <w:szCs w:val="28"/>
        </w:rPr>
      </w:pPr>
      <w:r>
        <w:rPr>
          <w:rFonts w:ascii="仿宋" w:hAnsi="仿宋" w:eastAsia="仿宋" w:cs="仿宋"/>
          <w:sz w:val="28"/>
          <w:szCs w:val="28"/>
        </w:rPr>
        <w:t>2016-2020</w:t>
      </w:r>
      <w:r>
        <w:rPr>
          <w:rFonts w:hint="eastAsia" w:ascii="仿宋" w:hAnsi="仿宋" w:eastAsia="仿宋" w:cs="仿宋"/>
          <w:sz w:val="28"/>
          <w:szCs w:val="28"/>
        </w:rPr>
        <w:t>年间，全球钨消费量从</w:t>
      </w:r>
      <w:r>
        <w:rPr>
          <w:rFonts w:ascii="仿宋" w:hAnsi="仿宋" w:eastAsia="仿宋" w:cs="仿宋"/>
          <w:sz w:val="28"/>
          <w:szCs w:val="28"/>
        </w:rPr>
        <w:t>7.8</w:t>
      </w:r>
      <w:r>
        <w:rPr>
          <w:rFonts w:hint="eastAsia" w:ascii="仿宋" w:hAnsi="仿宋" w:eastAsia="仿宋" w:cs="仿宋"/>
          <w:sz w:val="28"/>
          <w:szCs w:val="28"/>
        </w:rPr>
        <w:t>万吨增至</w:t>
      </w:r>
      <w:r>
        <w:rPr>
          <w:rFonts w:ascii="仿宋" w:hAnsi="仿宋" w:eastAsia="仿宋" w:cs="仿宋"/>
          <w:sz w:val="28"/>
          <w:szCs w:val="28"/>
        </w:rPr>
        <w:t>8.2</w:t>
      </w:r>
      <w:r>
        <w:rPr>
          <w:rFonts w:hint="eastAsia" w:ascii="仿宋" w:hAnsi="仿宋" w:eastAsia="仿宋" w:cs="仿宋"/>
          <w:sz w:val="28"/>
          <w:szCs w:val="28"/>
        </w:rPr>
        <w:t>万吨，年均增长</w:t>
      </w:r>
      <w:r>
        <w:rPr>
          <w:rFonts w:ascii="仿宋" w:hAnsi="仿宋" w:eastAsia="仿宋" w:cs="仿宋"/>
          <w:sz w:val="28"/>
          <w:szCs w:val="28"/>
        </w:rPr>
        <w:t>1.3%</w:t>
      </w:r>
      <w:r>
        <w:rPr>
          <w:rFonts w:hint="eastAsia" w:ascii="仿宋" w:hAnsi="仿宋" w:eastAsia="仿宋" w:cs="仿宋"/>
          <w:sz w:val="28"/>
          <w:szCs w:val="28"/>
        </w:rPr>
        <w:t>，</w:t>
      </w:r>
      <w:r>
        <w:rPr>
          <w:rFonts w:ascii="仿宋" w:hAnsi="仿宋" w:eastAsia="仿宋" w:cs="仿宋"/>
          <w:sz w:val="28"/>
          <w:szCs w:val="28"/>
        </w:rPr>
        <w:t>2018</w:t>
      </w:r>
      <w:r>
        <w:rPr>
          <w:rFonts w:hint="eastAsia" w:ascii="仿宋" w:hAnsi="仿宋" w:eastAsia="仿宋" w:cs="仿宋"/>
          <w:sz w:val="28"/>
          <w:szCs w:val="28"/>
        </w:rPr>
        <w:t>年是消费高点，此后开始下降。中国、美国、欧洲和日本是世界主要的钨消费区域。其中中国占比最大，</w:t>
      </w:r>
      <w:r>
        <w:rPr>
          <w:rFonts w:ascii="仿宋" w:hAnsi="仿宋" w:eastAsia="仿宋" w:cs="仿宋"/>
          <w:sz w:val="28"/>
          <w:szCs w:val="28"/>
        </w:rPr>
        <w:t>2020</w:t>
      </w:r>
      <w:r>
        <w:rPr>
          <w:rFonts w:hint="eastAsia" w:ascii="仿宋" w:hAnsi="仿宋" w:eastAsia="仿宋" w:cs="仿宋"/>
          <w:sz w:val="28"/>
          <w:szCs w:val="28"/>
        </w:rPr>
        <w:t>年中国钨消费量达到</w:t>
      </w:r>
      <w:r>
        <w:rPr>
          <w:rFonts w:ascii="仿宋" w:hAnsi="仿宋" w:eastAsia="仿宋" w:cs="仿宋"/>
          <w:sz w:val="28"/>
          <w:szCs w:val="28"/>
        </w:rPr>
        <w:t>4.8</w:t>
      </w:r>
      <w:r>
        <w:rPr>
          <w:rFonts w:hint="eastAsia" w:ascii="仿宋" w:hAnsi="仿宋" w:eastAsia="仿宋" w:cs="仿宋"/>
          <w:sz w:val="28"/>
          <w:szCs w:val="28"/>
        </w:rPr>
        <w:t>万吨，占到全球总消费量的</w:t>
      </w:r>
      <w:r>
        <w:rPr>
          <w:rFonts w:ascii="仿宋" w:hAnsi="仿宋" w:eastAsia="仿宋" w:cs="仿宋"/>
          <w:sz w:val="28"/>
          <w:szCs w:val="28"/>
        </w:rPr>
        <w:t>59%</w:t>
      </w:r>
      <w:r>
        <w:rPr>
          <w:rFonts w:hint="eastAsia" w:ascii="仿宋" w:hAnsi="仿宋" w:eastAsia="仿宋" w:cs="仿宋"/>
          <w:sz w:val="28"/>
          <w:szCs w:val="28"/>
        </w:rPr>
        <w:t>。</w:t>
      </w:r>
    </w:p>
    <w:p>
      <w:pPr>
        <w:spacing w:beforeLines="50" w:line="360" w:lineRule="auto"/>
        <w:jc w:val="center"/>
        <w:rPr>
          <w:rFonts w:ascii="黑体" w:hAnsi="黑体" w:eastAsia="黑体" w:cs="Times New Roman"/>
        </w:rPr>
      </w:pPr>
      <w:r>
        <w:rPr>
          <w:rFonts w:hint="eastAsia" w:ascii="黑体" w:hAnsi="黑体" w:eastAsia="黑体" w:cs="黑体"/>
        </w:rPr>
        <w:t>表</w:t>
      </w:r>
      <w:r>
        <w:rPr>
          <w:rFonts w:ascii="黑体" w:hAnsi="黑体" w:eastAsia="黑体" w:cs="黑体"/>
        </w:rPr>
        <w:t>2-11  2016-2020</w:t>
      </w:r>
      <w:r>
        <w:rPr>
          <w:rFonts w:hint="eastAsia" w:ascii="黑体" w:hAnsi="黑体" w:eastAsia="黑体" w:cs="黑体"/>
        </w:rPr>
        <w:t>年全球钨消费情况（吨金属量）</w:t>
      </w:r>
    </w:p>
    <w:tbl>
      <w:tblPr>
        <w:tblW w:w="928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
      <w:tblGrid>
        <w:gridCol w:w="2612"/>
        <w:gridCol w:w="1336"/>
        <w:gridCol w:w="1335"/>
        <w:gridCol w:w="1335"/>
        <w:gridCol w:w="1335"/>
        <w:gridCol w:w="1333"/>
      </w:tblGrid>
      <w:tr>
        <w:trPr>
          <w:trHeight w:val="285" w:hRule="atLeast"/>
          <w:jc w:val="center"/>
        </w:trPr>
        <w:tc>
          <w:tcPr>
            <w:tcW w:w="2612" w:type="dxa"/>
            <w:shd w:val="clear" w:color="auto" w:fill="D9D9D9"/>
            <w:vAlign w:val="center"/>
          </w:tcPr>
          <w:p>
            <w:pPr>
              <w:autoSpaceDN w:val="0"/>
              <w:jc w:val="center"/>
              <w:textAlignment w:val="center"/>
              <w:rPr>
                <w:rFonts w:ascii="Times New Roman" w:hAnsi="Times New Roman" w:cs="Times New Roman"/>
                <w:b/>
                <w:bCs/>
              </w:rPr>
            </w:pPr>
          </w:p>
        </w:tc>
        <w:tc>
          <w:tcPr>
            <w:tcW w:w="1336" w:type="dxa"/>
            <w:shd w:val="clear" w:color="auto" w:fill="D9D9D9"/>
            <w:vAlign w:val="center"/>
          </w:tcPr>
          <w:p>
            <w:pPr>
              <w:autoSpaceDN w:val="0"/>
              <w:jc w:val="center"/>
              <w:textAlignment w:val="center"/>
              <w:rPr>
                <w:rFonts w:ascii="Times New Roman" w:hAnsi="Times New Roman" w:cs="Times New Roman"/>
                <w:b/>
                <w:bCs/>
              </w:rPr>
            </w:pPr>
            <w:r>
              <w:rPr>
                <w:rFonts w:ascii="Times New Roman" w:hAnsi="Times New Roman" w:cs="Times New Roman"/>
                <w:b/>
                <w:bCs/>
              </w:rPr>
              <w:t>2016</w:t>
            </w:r>
          </w:p>
        </w:tc>
        <w:tc>
          <w:tcPr>
            <w:tcW w:w="1335" w:type="dxa"/>
            <w:shd w:val="clear" w:color="auto" w:fill="D9D9D9"/>
            <w:vAlign w:val="center"/>
          </w:tcPr>
          <w:p>
            <w:pPr>
              <w:autoSpaceDN w:val="0"/>
              <w:jc w:val="center"/>
              <w:textAlignment w:val="center"/>
              <w:rPr>
                <w:rFonts w:ascii="Times New Roman" w:hAnsi="Times New Roman" w:cs="Times New Roman"/>
                <w:b/>
                <w:bCs/>
              </w:rPr>
            </w:pPr>
            <w:r>
              <w:rPr>
                <w:rFonts w:ascii="Times New Roman" w:hAnsi="Times New Roman" w:cs="Times New Roman"/>
                <w:b/>
                <w:bCs/>
              </w:rPr>
              <w:t>2017</w:t>
            </w:r>
          </w:p>
        </w:tc>
        <w:tc>
          <w:tcPr>
            <w:tcW w:w="1335" w:type="dxa"/>
            <w:shd w:val="clear" w:color="auto" w:fill="D9D9D9"/>
            <w:vAlign w:val="center"/>
          </w:tcPr>
          <w:p>
            <w:pPr>
              <w:autoSpaceDN w:val="0"/>
              <w:jc w:val="center"/>
              <w:textAlignment w:val="center"/>
              <w:rPr>
                <w:rFonts w:ascii="Times New Roman" w:hAnsi="Times New Roman" w:cs="Times New Roman"/>
                <w:b/>
                <w:bCs/>
              </w:rPr>
            </w:pPr>
            <w:r>
              <w:rPr>
                <w:rFonts w:ascii="Times New Roman" w:hAnsi="Times New Roman" w:cs="Times New Roman"/>
                <w:b/>
                <w:bCs/>
              </w:rPr>
              <w:t>2018</w:t>
            </w:r>
          </w:p>
        </w:tc>
        <w:tc>
          <w:tcPr>
            <w:tcW w:w="1335" w:type="dxa"/>
            <w:shd w:val="clear" w:color="auto" w:fill="D9D9D9"/>
            <w:vAlign w:val="center"/>
          </w:tcPr>
          <w:p>
            <w:pPr>
              <w:autoSpaceDN w:val="0"/>
              <w:jc w:val="center"/>
              <w:textAlignment w:val="center"/>
              <w:rPr>
                <w:rFonts w:ascii="Times New Roman" w:hAnsi="Times New Roman" w:cs="Times New Roman"/>
                <w:b/>
                <w:bCs/>
              </w:rPr>
            </w:pPr>
            <w:r>
              <w:rPr>
                <w:rFonts w:ascii="Times New Roman" w:hAnsi="Times New Roman" w:cs="Times New Roman"/>
                <w:b/>
                <w:bCs/>
              </w:rPr>
              <w:t>2019</w:t>
            </w:r>
          </w:p>
        </w:tc>
        <w:tc>
          <w:tcPr>
            <w:tcW w:w="1333" w:type="dxa"/>
            <w:shd w:val="clear" w:color="auto" w:fill="D9D9D9"/>
            <w:vAlign w:val="center"/>
          </w:tcPr>
          <w:p>
            <w:pPr>
              <w:autoSpaceDN w:val="0"/>
              <w:jc w:val="center"/>
              <w:textAlignment w:val="center"/>
              <w:rPr>
                <w:rFonts w:ascii="Times New Roman" w:hAnsi="Times New Roman" w:cs="Times New Roman"/>
                <w:b/>
                <w:bCs/>
              </w:rPr>
            </w:pPr>
            <w:r>
              <w:rPr>
                <w:rFonts w:ascii="Times New Roman" w:hAnsi="Times New Roman" w:cs="Times New Roman"/>
                <w:b/>
                <w:bCs/>
              </w:rPr>
              <w:t>2020</w:t>
            </w:r>
          </w:p>
        </w:tc>
      </w:tr>
      <w:tr>
        <w:trPr>
          <w:trHeight w:val="285" w:hRule="atLeast"/>
          <w:jc w:val="center"/>
        </w:trPr>
        <w:tc>
          <w:tcPr>
            <w:tcW w:w="2612" w:type="dxa"/>
            <w:vAlign w:val="center"/>
          </w:tcPr>
          <w:p>
            <w:pPr>
              <w:autoSpaceDN w:val="0"/>
              <w:jc w:val="center"/>
              <w:textAlignment w:val="center"/>
              <w:rPr>
                <w:rFonts w:ascii="Times New Roman" w:hAnsi="Times New Roman" w:cs="Times New Roman"/>
              </w:rPr>
            </w:pPr>
            <w:r>
              <w:rPr>
                <w:rFonts w:hint="eastAsia" w:ascii="Times New Roman" w:hAnsi="Times New Roman" w:cs="宋体"/>
              </w:rPr>
              <w:t>欧洲</w:t>
            </w:r>
          </w:p>
        </w:tc>
        <w:tc>
          <w:tcPr>
            <w:tcW w:w="1336" w:type="dxa"/>
            <w:vAlign w:val="center"/>
          </w:tcPr>
          <w:p>
            <w:pPr>
              <w:autoSpaceDN w:val="0"/>
              <w:jc w:val="center"/>
              <w:textAlignment w:val="center"/>
              <w:rPr>
                <w:rFonts w:ascii="Times New Roman" w:hAnsi="Times New Roman" w:cs="Times New Roman"/>
              </w:rPr>
            </w:pPr>
            <w:r>
              <w:rPr>
                <w:rFonts w:ascii="Times New Roman" w:hAnsi="Times New Roman" w:cs="Times New Roman"/>
              </w:rPr>
              <w:t>16,327</w:t>
            </w:r>
          </w:p>
        </w:tc>
        <w:tc>
          <w:tcPr>
            <w:tcW w:w="1335" w:type="dxa"/>
            <w:vAlign w:val="center"/>
          </w:tcPr>
          <w:p>
            <w:pPr>
              <w:autoSpaceDN w:val="0"/>
              <w:jc w:val="center"/>
              <w:textAlignment w:val="center"/>
              <w:rPr>
                <w:rFonts w:ascii="Times New Roman" w:hAnsi="Times New Roman" w:cs="Times New Roman"/>
              </w:rPr>
            </w:pPr>
            <w:r>
              <w:rPr>
                <w:rFonts w:ascii="Times New Roman" w:hAnsi="Times New Roman" w:cs="Times New Roman"/>
              </w:rPr>
              <w:t>17,290</w:t>
            </w:r>
          </w:p>
        </w:tc>
        <w:tc>
          <w:tcPr>
            <w:tcW w:w="1335" w:type="dxa"/>
            <w:vAlign w:val="center"/>
          </w:tcPr>
          <w:p>
            <w:pPr>
              <w:autoSpaceDN w:val="0"/>
              <w:jc w:val="center"/>
              <w:textAlignment w:val="center"/>
              <w:rPr>
                <w:rFonts w:ascii="Times New Roman" w:hAnsi="Times New Roman" w:cs="Times New Roman"/>
              </w:rPr>
            </w:pPr>
            <w:r>
              <w:rPr>
                <w:rFonts w:ascii="Times New Roman" w:hAnsi="Times New Roman" w:cs="Times New Roman"/>
              </w:rPr>
              <w:t>17,300</w:t>
            </w:r>
          </w:p>
        </w:tc>
        <w:tc>
          <w:tcPr>
            <w:tcW w:w="1335" w:type="dxa"/>
            <w:vAlign w:val="center"/>
          </w:tcPr>
          <w:p>
            <w:pPr>
              <w:autoSpaceDN w:val="0"/>
              <w:jc w:val="center"/>
              <w:textAlignment w:val="center"/>
              <w:rPr>
                <w:rFonts w:ascii="Times New Roman" w:hAnsi="Times New Roman" w:cs="Times New Roman"/>
              </w:rPr>
            </w:pPr>
            <w:r>
              <w:rPr>
                <w:rFonts w:ascii="Times New Roman" w:hAnsi="Times New Roman" w:cs="Times New Roman"/>
              </w:rPr>
              <w:t>15,943</w:t>
            </w:r>
          </w:p>
        </w:tc>
        <w:tc>
          <w:tcPr>
            <w:tcW w:w="1333" w:type="dxa"/>
            <w:vAlign w:val="center"/>
          </w:tcPr>
          <w:p>
            <w:pPr>
              <w:autoSpaceDN w:val="0"/>
              <w:jc w:val="center"/>
              <w:textAlignment w:val="center"/>
              <w:rPr>
                <w:rFonts w:ascii="Times New Roman" w:hAnsi="Times New Roman" w:cs="Times New Roman"/>
              </w:rPr>
            </w:pPr>
            <w:r>
              <w:rPr>
                <w:rFonts w:ascii="Times New Roman" w:hAnsi="Times New Roman" w:cs="Times New Roman"/>
              </w:rPr>
              <w:t>14,827</w:t>
            </w:r>
          </w:p>
        </w:tc>
      </w:tr>
      <w:tr>
        <w:trPr>
          <w:trHeight w:val="285" w:hRule="atLeast"/>
          <w:jc w:val="center"/>
        </w:trPr>
        <w:tc>
          <w:tcPr>
            <w:tcW w:w="2612" w:type="dxa"/>
            <w:vAlign w:val="center"/>
          </w:tcPr>
          <w:p>
            <w:pPr>
              <w:autoSpaceDN w:val="0"/>
              <w:jc w:val="center"/>
              <w:textAlignment w:val="center"/>
              <w:rPr>
                <w:rFonts w:ascii="Times New Roman" w:hAnsi="Times New Roman" w:cs="Times New Roman"/>
              </w:rPr>
            </w:pPr>
            <w:r>
              <w:rPr>
                <w:rFonts w:hint="eastAsia" w:ascii="Times New Roman" w:hAnsi="Times New Roman" w:cs="宋体"/>
              </w:rPr>
              <w:t>日本</w:t>
            </w:r>
          </w:p>
        </w:tc>
        <w:tc>
          <w:tcPr>
            <w:tcW w:w="1336" w:type="dxa"/>
            <w:vAlign w:val="center"/>
          </w:tcPr>
          <w:p>
            <w:pPr>
              <w:autoSpaceDN w:val="0"/>
              <w:jc w:val="center"/>
              <w:textAlignment w:val="center"/>
              <w:rPr>
                <w:rFonts w:ascii="Times New Roman" w:hAnsi="Times New Roman" w:cs="Times New Roman"/>
              </w:rPr>
            </w:pPr>
            <w:r>
              <w:rPr>
                <w:rFonts w:ascii="Times New Roman" w:hAnsi="Times New Roman" w:cs="Times New Roman"/>
              </w:rPr>
              <w:t>8,405</w:t>
            </w:r>
          </w:p>
        </w:tc>
        <w:tc>
          <w:tcPr>
            <w:tcW w:w="1335" w:type="dxa"/>
            <w:vAlign w:val="center"/>
          </w:tcPr>
          <w:p>
            <w:pPr>
              <w:autoSpaceDN w:val="0"/>
              <w:jc w:val="center"/>
              <w:textAlignment w:val="center"/>
              <w:rPr>
                <w:rFonts w:ascii="Times New Roman" w:hAnsi="Times New Roman" w:cs="Times New Roman"/>
              </w:rPr>
            </w:pPr>
            <w:r>
              <w:rPr>
                <w:rFonts w:ascii="Times New Roman" w:hAnsi="Times New Roman" w:cs="Times New Roman"/>
              </w:rPr>
              <w:t>9,030</w:t>
            </w:r>
          </w:p>
        </w:tc>
        <w:tc>
          <w:tcPr>
            <w:tcW w:w="1335" w:type="dxa"/>
            <w:vAlign w:val="center"/>
          </w:tcPr>
          <w:p>
            <w:pPr>
              <w:autoSpaceDN w:val="0"/>
              <w:jc w:val="center"/>
              <w:textAlignment w:val="center"/>
              <w:rPr>
                <w:rFonts w:ascii="Times New Roman" w:hAnsi="Times New Roman" w:cs="Times New Roman"/>
              </w:rPr>
            </w:pPr>
            <w:r>
              <w:rPr>
                <w:rFonts w:ascii="Times New Roman" w:hAnsi="Times New Roman" w:cs="Times New Roman"/>
              </w:rPr>
              <w:t>8,900</w:t>
            </w:r>
          </w:p>
        </w:tc>
        <w:tc>
          <w:tcPr>
            <w:tcW w:w="1335" w:type="dxa"/>
            <w:vAlign w:val="center"/>
          </w:tcPr>
          <w:p>
            <w:pPr>
              <w:autoSpaceDN w:val="0"/>
              <w:jc w:val="center"/>
              <w:textAlignment w:val="center"/>
              <w:rPr>
                <w:rFonts w:ascii="Times New Roman" w:hAnsi="Times New Roman" w:cs="Times New Roman"/>
              </w:rPr>
            </w:pPr>
            <w:r>
              <w:rPr>
                <w:rFonts w:ascii="Times New Roman" w:hAnsi="Times New Roman" w:cs="Times New Roman"/>
              </w:rPr>
              <w:t>8,000</w:t>
            </w:r>
          </w:p>
        </w:tc>
        <w:tc>
          <w:tcPr>
            <w:tcW w:w="1333" w:type="dxa"/>
            <w:vAlign w:val="center"/>
          </w:tcPr>
          <w:p>
            <w:pPr>
              <w:autoSpaceDN w:val="0"/>
              <w:jc w:val="center"/>
              <w:textAlignment w:val="center"/>
              <w:rPr>
                <w:rFonts w:ascii="Times New Roman" w:hAnsi="Times New Roman" w:cs="Times New Roman"/>
              </w:rPr>
            </w:pPr>
            <w:r>
              <w:rPr>
                <w:rFonts w:ascii="Times New Roman" w:hAnsi="Times New Roman" w:cs="Times New Roman"/>
              </w:rPr>
              <w:t>7,600</w:t>
            </w:r>
          </w:p>
        </w:tc>
      </w:tr>
      <w:tr>
        <w:trPr>
          <w:trHeight w:val="285" w:hRule="atLeast"/>
          <w:jc w:val="center"/>
        </w:trPr>
        <w:tc>
          <w:tcPr>
            <w:tcW w:w="2612" w:type="dxa"/>
            <w:vAlign w:val="center"/>
          </w:tcPr>
          <w:p>
            <w:pPr>
              <w:autoSpaceDN w:val="0"/>
              <w:jc w:val="center"/>
              <w:textAlignment w:val="center"/>
              <w:rPr>
                <w:rFonts w:ascii="Times New Roman" w:hAnsi="Times New Roman" w:cs="Times New Roman"/>
              </w:rPr>
            </w:pPr>
            <w:r>
              <w:rPr>
                <w:rFonts w:hint="eastAsia" w:ascii="Times New Roman" w:hAnsi="Times New Roman" w:cs="宋体"/>
              </w:rPr>
              <w:t>美国</w:t>
            </w:r>
          </w:p>
        </w:tc>
        <w:tc>
          <w:tcPr>
            <w:tcW w:w="1336" w:type="dxa"/>
            <w:vAlign w:val="center"/>
          </w:tcPr>
          <w:p>
            <w:pPr>
              <w:autoSpaceDN w:val="0"/>
              <w:jc w:val="center"/>
              <w:textAlignment w:val="center"/>
              <w:rPr>
                <w:rFonts w:ascii="Times New Roman" w:hAnsi="Times New Roman" w:cs="Times New Roman"/>
              </w:rPr>
            </w:pPr>
            <w:r>
              <w:rPr>
                <w:rFonts w:ascii="Times New Roman" w:hAnsi="Times New Roman" w:cs="Times New Roman"/>
              </w:rPr>
              <w:t>9,905</w:t>
            </w:r>
          </w:p>
        </w:tc>
        <w:tc>
          <w:tcPr>
            <w:tcW w:w="1335" w:type="dxa"/>
            <w:vAlign w:val="center"/>
          </w:tcPr>
          <w:p>
            <w:pPr>
              <w:autoSpaceDN w:val="0"/>
              <w:jc w:val="center"/>
              <w:textAlignment w:val="center"/>
              <w:rPr>
                <w:rFonts w:ascii="Times New Roman" w:hAnsi="Times New Roman" w:cs="Times New Roman"/>
              </w:rPr>
            </w:pPr>
            <w:r>
              <w:rPr>
                <w:rFonts w:ascii="Times New Roman" w:hAnsi="Times New Roman" w:cs="Times New Roman"/>
              </w:rPr>
              <w:t>9,700</w:t>
            </w:r>
          </w:p>
        </w:tc>
        <w:tc>
          <w:tcPr>
            <w:tcW w:w="1335" w:type="dxa"/>
            <w:vAlign w:val="center"/>
          </w:tcPr>
          <w:p>
            <w:pPr>
              <w:autoSpaceDN w:val="0"/>
              <w:jc w:val="center"/>
              <w:textAlignment w:val="center"/>
              <w:rPr>
                <w:rFonts w:ascii="Times New Roman" w:hAnsi="Times New Roman" w:cs="Times New Roman"/>
              </w:rPr>
            </w:pPr>
            <w:r>
              <w:rPr>
                <w:rFonts w:ascii="Times New Roman" w:hAnsi="Times New Roman" w:cs="Times New Roman"/>
              </w:rPr>
              <w:t>11,500</w:t>
            </w:r>
          </w:p>
        </w:tc>
        <w:tc>
          <w:tcPr>
            <w:tcW w:w="1335" w:type="dxa"/>
            <w:vAlign w:val="center"/>
          </w:tcPr>
          <w:p>
            <w:pPr>
              <w:autoSpaceDN w:val="0"/>
              <w:jc w:val="center"/>
              <w:textAlignment w:val="center"/>
              <w:rPr>
                <w:rFonts w:ascii="Times New Roman" w:hAnsi="Times New Roman" w:cs="Times New Roman"/>
              </w:rPr>
            </w:pPr>
            <w:r>
              <w:rPr>
                <w:rFonts w:ascii="Times New Roman" w:hAnsi="Times New Roman" w:cs="Times New Roman"/>
              </w:rPr>
              <w:t>10,000</w:t>
            </w:r>
          </w:p>
        </w:tc>
        <w:tc>
          <w:tcPr>
            <w:tcW w:w="1333" w:type="dxa"/>
            <w:vAlign w:val="center"/>
          </w:tcPr>
          <w:p>
            <w:pPr>
              <w:autoSpaceDN w:val="0"/>
              <w:jc w:val="center"/>
              <w:textAlignment w:val="center"/>
              <w:rPr>
                <w:rFonts w:ascii="Times New Roman" w:hAnsi="Times New Roman" w:cs="Times New Roman"/>
              </w:rPr>
            </w:pPr>
            <w:r>
              <w:rPr>
                <w:rFonts w:ascii="Times New Roman" w:hAnsi="Times New Roman" w:cs="Times New Roman"/>
              </w:rPr>
              <w:t>9,600</w:t>
            </w:r>
          </w:p>
        </w:tc>
      </w:tr>
      <w:tr>
        <w:trPr>
          <w:trHeight w:val="285" w:hRule="atLeast"/>
          <w:jc w:val="center"/>
        </w:trPr>
        <w:tc>
          <w:tcPr>
            <w:tcW w:w="2612" w:type="dxa"/>
            <w:vAlign w:val="center"/>
          </w:tcPr>
          <w:p>
            <w:pPr>
              <w:autoSpaceDN w:val="0"/>
              <w:jc w:val="center"/>
              <w:textAlignment w:val="center"/>
              <w:rPr>
                <w:rFonts w:ascii="Times New Roman" w:hAnsi="Times New Roman" w:cs="Times New Roman"/>
              </w:rPr>
            </w:pPr>
            <w:r>
              <w:rPr>
                <w:rFonts w:hint="eastAsia" w:ascii="Times New Roman" w:hAnsi="Times New Roman" w:cs="宋体"/>
              </w:rPr>
              <w:t>其他</w:t>
            </w:r>
          </w:p>
        </w:tc>
        <w:tc>
          <w:tcPr>
            <w:tcW w:w="1336" w:type="dxa"/>
            <w:vAlign w:val="center"/>
          </w:tcPr>
          <w:p>
            <w:pPr>
              <w:autoSpaceDN w:val="0"/>
              <w:jc w:val="center"/>
              <w:textAlignment w:val="center"/>
              <w:rPr>
                <w:rFonts w:ascii="Times New Roman" w:hAnsi="Times New Roman" w:cs="Times New Roman"/>
              </w:rPr>
            </w:pPr>
            <w:r>
              <w:rPr>
                <w:rFonts w:ascii="Times New Roman" w:hAnsi="Times New Roman" w:cs="Times New Roman"/>
              </w:rPr>
              <w:t>7,250</w:t>
            </w:r>
          </w:p>
        </w:tc>
        <w:tc>
          <w:tcPr>
            <w:tcW w:w="1335" w:type="dxa"/>
            <w:vAlign w:val="center"/>
          </w:tcPr>
          <w:p>
            <w:pPr>
              <w:autoSpaceDN w:val="0"/>
              <w:jc w:val="center"/>
              <w:textAlignment w:val="center"/>
              <w:rPr>
                <w:rFonts w:ascii="Times New Roman" w:hAnsi="Times New Roman" w:cs="Times New Roman"/>
              </w:rPr>
            </w:pPr>
            <w:r>
              <w:rPr>
                <w:rFonts w:ascii="Times New Roman" w:hAnsi="Times New Roman" w:cs="Times New Roman"/>
              </w:rPr>
              <w:t>7,500</w:t>
            </w:r>
          </w:p>
        </w:tc>
        <w:tc>
          <w:tcPr>
            <w:tcW w:w="1335" w:type="dxa"/>
            <w:vAlign w:val="center"/>
          </w:tcPr>
          <w:p>
            <w:pPr>
              <w:autoSpaceDN w:val="0"/>
              <w:jc w:val="center"/>
              <w:textAlignment w:val="center"/>
              <w:rPr>
                <w:rFonts w:ascii="Times New Roman" w:hAnsi="Times New Roman" w:cs="Times New Roman"/>
              </w:rPr>
            </w:pPr>
            <w:r>
              <w:rPr>
                <w:rFonts w:ascii="Times New Roman" w:hAnsi="Times New Roman" w:cs="Times New Roman"/>
              </w:rPr>
              <w:t>7,600</w:t>
            </w:r>
          </w:p>
        </w:tc>
        <w:tc>
          <w:tcPr>
            <w:tcW w:w="1335" w:type="dxa"/>
            <w:vAlign w:val="center"/>
          </w:tcPr>
          <w:p>
            <w:pPr>
              <w:autoSpaceDN w:val="0"/>
              <w:jc w:val="center"/>
              <w:textAlignment w:val="center"/>
              <w:rPr>
                <w:rFonts w:ascii="Times New Roman" w:hAnsi="Times New Roman" w:cs="Times New Roman"/>
              </w:rPr>
            </w:pPr>
            <w:r>
              <w:rPr>
                <w:rFonts w:ascii="Times New Roman" w:hAnsi="Times New Roman" w:cs="Times New Roman"/>
              </w:rPr>
              <w:t>7,635</w:t>
            </w:r>
          </w:p>
        </w:tc>
        <w:tc>
          <w:tcPr>
            <w:tcW w:w="1333" w:type="dxa"/>
            <w:vAlign w:val="center"/>
          </w:tcPr>
          <w:p>
            <w:pPr>
              <w:autoSpaceDN w:val="0"/>
              <w:jc w:val="center"/>
              <w:textAlignment w:val="center"/>
              <w:rPr>
                <w:rFonts w:ascii="Times New Roman" w:hAnsi="Times New Roman" w:cs="Times New Roman"/>
              </w:rPr>
            </w:pPr>
            <w:r>
              <w:rPr>
                <w:rFonts w:ascii="Times New Roman" w:hAnsi="Times New Roman" w:cs="Times New Roman"/>
              </w:rPr>
              <w:t>7,253</w:t>
            </w:r>
          </w:p>
        </w:tc>
      </w:tr>
      <w:tr>
        <w:trPr>
          <w:trHeight w:val="285" w:hRule="atLeast"/>
          <w:jc w:val="center"/>
        </w:trPr>
        <w:tc>
          <w:tcPr>
            <w:tcW w:w="2612" w:type="dxa"/>
            <w:vAlign w:val="center"/>
          </w:tcPr>
          <w:p>
            <w:pPr>
              <w:autoSpaceDN w:val="0"/>
              <w:jc w:val="center"/>
              <w:textAlignment w:val="center"/>
              <w:rPr>
                <w:rFonts w:ascii="Times New Roman" w:hAnsi="Times New Roman" w:cs="Times New Roman"/>
              </w:rPr>
            </w:pPr>
            <w:r>
              <w:rPr>
                <w:rFonts w:hint="eastAsia" w:ascii="Times New Roman" w:hAnsi="Times New Roman" w:cs="宋体"/>
              </w:rPr>
              <w:t>国外合计</w:t>
            </w:r>
          </w:p>
        </w:tc>
        <w:tc>
          <w:tcPr>
            <w:tcW w:w="1336" w:type="dxa"/>
            <w:vAlign w:val="center"/>
          </w:tcPr>
          <w:p>
            <w:pPr>
              <w:autoSpaceDN w:val="0"/>
              <w:jc w:val="center"/>
              <w:textAlignment w:val="center"/>
              <w:rPr>
                <w:rFonts w:ascii="Times New Roman" w:hAnsi="Times New Roman" w:cs="Times New Roman"/>
              </w:rPr>
            </w:pPr>
            <w:r>
              <w:rPr>
                <w:rFonts w:ascii="Times New Roman" w:hAnsi="Times New Roman" w:cs="Times New Roman"/>
              </w:rPr>
              <w:t>41,887</w:t>
            </w:r>
          </w:p>
        </w:tc>
        <w:tc>
          <w:tcPr>
            <w:tcW w:w="1335" w:type="dxa"/>
            <w:vAlign w:val="center"/>
          </w:tcPr>
          <w:p>
            <w:pPr>
              <w:autoSpaceDN w:val="0"/>
              <w:jc w:val="center"/>
              <w:textAlignment w:val="center"/>
              <w:rPr>
                <w:rFonts w:ascii="Times New Roman" w:hAnsi="Times New Roman" w:cs="Times New Roman"/>
              </w:rPr>
            </w:pPr>
            <w:r>
              <w:rPr>
                <w:rFonts w:ascii="Times New Roman" w:hAnsi="Times New Roman" w:cs="Times New Roman"/>
              </w:rPr>
              <w:t>43,520</w:t>
            </w:r>
          </w:p>
        </w:tc>
        <w:tc>
          <w:tcPr>
            <w:tcW w:w="1335" w:type="dxa"/>
            <w:vAlign w:val="center"/>
          </w:tcPr>
          <w:p>
            <w:pPr>
              <w:autoSpaceDN w:val="0"/>
              <w:jc w:val="center"/>
              <w:textAlignment w:val="center"/>
              <w:rPr>
                <w:rFonts w:ascii="Times New Roman" w:hAnsi="Times New Roman" w:cs="Times New Roman"/>
              </w:rPr>
            </w:pPr>
            <w:r>
              <w:rPr>
                <w:rFonts w:ascii="Times New Roman" w:hAnsi="Times New Roman" w:cs="Times New Roman"/>
              </w:rPr>
              <w:t>45,300</w:t>
            </w:r>
          </w:p>
        </w:tc>
        <w:tc>
          <w:tcPr>
            <w:tcW w:w="1335" w:type="dxa"/>
            <w:vAlign w:val="center"/>
          </w:tcPr>
          <w:p>
            <w:pPr>
              <w:autoSpaceDN w:val="0"/>
              <w:jc w:val="center"/>
              <w:textAlignment w:val="center"/>
              <w:rPr>
                <w:rFonts w:ascii="Times New Roman" w:hAnsi="Times New Roman" w:cs="Times New Roman"/>
              </w:rPr>
            </w:pPr>
            <w:r>
              <w:rPr>
                <w:rFonts w:ascii="Times New Roman" w:hAnsi="Times New Roman" w:cs="Times New Roman"/>
              </w:rPr>
              <w:t>41,578</w:t>
            </w:r>
          </w:p>
        </w:tc>
        <w:tc>
          <w:tcPr>
            <w:tcW w:w="1333" w:type="dxa"/>
            <w:vAlign w:val="center"/>
          </w:tcPr>
          <w:p>
            <w:pPr>
              <w:autoSpaceDN w:val="0"/>
              <w:jc w:val="center"/>
              <w:textAlignment w:val="center"/>
              <w:rPr>
                <w:rFonts w:ascii="Times New Roman" w:hAnsi="Times New Roman" w:cs="Times New Roman"/>
              </w:rPr>
            </w:pPr>
            <w:r>
              <w:rPr>
                <w:rFonts w:ascii="Times New Roman" w:hAnsi="Times New Roman" w:cs="Times New Roman"/>
              </w:rPr>
              <w:t>39,280</w:t>
            </w:r>
          </w:p>
        </w:tc>
      </w:tr>
      <w:tr>
        <w:trPr>
          <w:trHeight w:val="285" w:hRule="atLeast"/>
          <w:jc w:val="center"/>
        </w:trPr>
        <w:tc>
          <w:tcPr>
            <w:tcW w:w="2612" w:type="dxa"/>
            <w:vAlign w:val="center"/>
          </w:tcPr>
          <w:p>
            <w:pPr>
              <w:autoSpaceDN w:val="0"/>
              <w:jc w:val="center"/>
              <w:textAlignment w:val="center"/>
              <w:rPr>
                <w:rFonts w:ascii="Times New Roman" w:hAnsi="Times New Roman" w:cs="Times New Roman"/>
              </w:rPr>
            </w:pPr>
            <w:r>
              <w:rPr>
                <w:rFonts w:hint="eastAsia" w:ascii="Times New Roman" w:hAnsi="Times New Roman" w:cs="宋体"/>
              </w:rPr>
              <w:t>中国以外原钨消费量</w:t>
            </w:r>
          </w:p>
        </w:tc>
        <w:tc>
          <w:tcPr>
            <w:tcW w:w="1336" w:type="dxa"/>
            <w:vAlign w:val="center"/>
          </w:tcPr>
          <w:p>
            <w:pPr>
              <w:autoSpaceDN w:val="0"/>
              <w:jc w:val="center"/>
              <w:textAlignment w:val="center"/>
              <w:rPr>
                <w:rFonts w:ascii="Times New Roman" w:hAnsi="Times New Roman" w:cs="Times New Roman"/>
              </w:rPr>
            </w:pPr>
            <w:r>
              <w:rPr>
                <w:rFonts w:ascii="Times New Roman" w:hAnsi="Times New Roman" w:cs="Times New Roman"/>
              </w:rPr>
              <w:t>37,887</w:t>
            </w:r>
          </w:p>
        </w:tc>
        <w:tc>
          <w:tcPr>
            <w:tcW w:w="1335" w:type="dxa"/>
            <w:vAlign w:val="center"/>
          </w:tcPr>
          <w:p>
            <w:pPr>
              <w:autoSpaceDN w:val="0"/>
              <w:jc w:val="center"/>
              <w:textAlignment w:val="center"/>
              <w:rPr>
                <w:rFonts w:ascii="Times New Roman" w:hAnsi="Times New Roman" w:cs="Times New Roman"/>
              </w:rPr>
            </w:pPr>
            <w:r>
              <w:rPr>
                <w:rFonts w:ascii="Times New Roman" w:hAnsi="Times New Roman" w:cs="Times New Roman"/>
              </w:rPr>
              <w:t>38,520</w:t>
            </w:r>
          </w:p>
        </w:tc>
        <w:tc>
          <w:tcPr>
            <w:tcW w:w="1335" w:type="dxa"/>
            <w:vAlign w:val="center"/>
          </w:tcPr>
          <w:p>
            <w:pPr>
              <w:autoSpaceDN w:val="0"/>
              <w:jc w:val="center"/>
              <w:textAlignment w:val="center"/>
              <w:rPr>
                <w:rFonts w:ascii="Times New Roman" w:hAnsi="Times New Roman" w:cs="Times New Roman"/>
              </w:rPr>
            </w:pPr>
            <w:r>
              <w:rPr>
                <w:rFonts w:ascii="Times New Roman" w:hAnsi="Times New Roman" w:cs="Times New Roman"/>
              </w:rPr>
              <w:t>39,300</w:t>
            </w:r>
          </w:p>
        </w:tc>
        <w:tc>
          <w:tcPr>
            <w:tcW w:w="1335" w:type="dxa"/>
            <w:vAlign w:val="center"/>
          </w:tcPr>
          <w:p>
            <w:pPr>
              <w:autoSpaceDN w:val="0"/>
              <w:jc w:val="center"/>
              <w:textAlignment w:val="center"/>
              <w:rPr>
                <w:rFonts w:ascii="Times New Roman" w:hAnsi="Times New Roman" w:cs="Times New Roman"/>
              </w:rPr>
            </w:pPr>
            <w:r>
              <w:rPr>
                <w:rFonts w:ascii="Times New Roman" w:hAnsi="Times New Roman" w:cs="Times New Roman"/>
              </w:rPr>
              <w:t>35,000</w:t>
            </w:r>
          </w:p>
        </w:tc>
        <w:tc>
          <w:tcPr>
            <w:tcW w:w="1333" w:type="dxa"/>
            <w:vAlign w:val="center"/>
          </w:tcPr>
          <w:p>
            <w:pPr>
              <w:autoSpaceDN w:val="0"/>
              <w:jc w:val="center"/>
              <w:textAlignment w:val="center"/>
              <w:rPr>
                <w:rFonts w:ascii="Times New Roman" w:hAnsi="Times New Roman" w:cs="Times New Roman"/>
              </w:rPr>
            </w:pPr>
            <w:r>
              <w:rPr>
                <w:rFonts w:ascii="Times New Roman" w:hAnsi="Times New Roman" w:cs="Times New Roman"/>
              </w:rPr>
              <w:t>33,260</w:t>
            </w:r>
          </w:p>
        </w:tc>
      </w:tr>
      <w:tr>
        <w:trPr>
          <w:trHeight w:val="285" w:hRule="atLeast"/>
          <w:jc w:val="center"/>
        </w:trPr>
        <w:tc>
          <w:tcPr>
            <w:tcW w:w="2612" w:type="dxa"/>
            <w:vAlign w:val="center"/>
          </w:tcPr>
          <w:p>
            <w:pPr>
              <w:autoSpaceDN w:val="0"/>
              <w:jc w:val="center"/>
              <w:textAlignment w:val="center"/>
              <w:rPr>
                <w:rFonts w:ascii="Times New Roman" w:hAnsi="Times New Roman" w:cs="Times New Roman"/>
              </w:rPr>
            </w:pPr>
            <w:r>
              <w:rPr>
                <w:rFonts w:hint="eastAsia" w:ascii="Times New Roman" w:hAnsi="Times New Roman" w:cs="宋体"/>
              </w:rPr>
              <w:t>中国原钨消费量</w:t>
            </w:r>
          </w:p>
        </w:tc>
        <w:tc>
          <w:tcPr>
            <w:tcW w:w="1336" w:type="dxa"/>
            <w:vAlign w:val="center"/>
          </w:tcPr>
          <w:p>
            <w:pPr>
              <w:autoSpaceDN w:val="0"/>
              <w:jc w:val="center"/>
              <w:textAlignment w:val="center"/>
              <w:rPr>
                <w:rFonts w:ascii="Times New Roman" w:hAnsi="Times New Roman" w:cs="Times New Roman"/>
              </w:rPr>
            </w:pPr>
            <w:r>
              <w:rPr>
                <w:rFonts w:ascii="Times New Roman" w:hAnsi="Times New Roman" w:cs="Times New Roman"/>
              </w:rPr>
              <w:t>40,301</w:t>
            </w:r>
          </w:p>
        </w:tc>
        <w:tc>
          <w:tcPr>
            <w:tcW w:w="1335" w:type="dxa"/>
            <w:vAlign w:val="center"/>
          </w:tcPr>
          <w:p>
            <w:pPr>
              <w:autoSpaceDN w:val="0"/>
              <w:jc w:val="center"/>
              <w:textAlignment w:val="center"/>
              <w:rPr>
                <w:rFonts w:ascii="Times New Roman" w:hAnsi="Times New Roman" w:cs="Times New Roman"/>
              </w:rPr>
            </w:pPr>
            <w:r>
              <w:rPr>
                <w:rFonts w:ascii="Times New Roman" w:hAnsi="Times New Roman" w:cs="Times New Roman"/>
              </w:rPr>
              <w:t>45,748</w:t>
            </w:r>
          </w:p>
        </w:tc>
        <w:tc>
          <w:tcPr>
            <w:tcW w:w="1335" w:type="dxa"/>
            <w:vAlign w:val="center"/>
          </w:tcPr>
          <w:p>
            <w:pPr>
              <w:autoSpaceDN w:val="0"/>
              <w:jc w:val="center"/>
              <w:textAlignment w:val="center"/>
              <w:rPr>
                <w:rFonts w:ascii="Times New Roman" w:hAnsi="Times New Roman" w:cs="Times New Roman"/>
              </w:rPr>
            </w:pPr>
            <w:r>
              <w:rPr>
                <w:rFonts w:ascii="Times New Roman" w:hAnsi="Times New Roman" w:cs="Times New Roman"/>
              </w:rPr>
              <w:t>49,194</w:t>
            </w:r>
          </w:p>
        </w:tc>
        <w:tc>
          <w:tcPr>
            <w:tcW w:w="1335" w:type="dxa"/>
            <w:vAlign w:val="center"/>
          </w:tcPr>
          <w:p>
            <w:pPr>
              <w:autoSpaceDN w:val="0"/>
              <w:jc w:val="center"/>
              <w:textAlignment w:val="center"/>
              <w:rPr>
                <w:rFonts w:ascii="Times New Roman" w:hAnsi="Times New Roman" w:cs="Times New Roman"/>
              </w:rPr>
            </w:pPr>
            <w:r>
              <w:rPr>
                <w:rFonts w:ascii="Times New Roman" w:hAnsi="Times New Roman" w:cs="Times New Roman"/>
              </w:rPr>
              <w:t>47,507</w:t>
            </w:r>
          </w:p>
        </w:tc>
        <w:tc>
          <w:tcPr>
            <w:tcW w:w="1333" w:type="dxa"/>
            <w:vAlign w:val="center"/>
          </w:tcPr>
          <w:p>
            <w:pPr>
              <w:autoSpaceDN w:val="0"/>
              <w:jc w:val="center"/>
              <w:textAlignment w:val="center"/>
              <w:rPr>
                <w:rFonts w:ascii="Times New Roman" w:hAnsi="Times New Roman" w:cs="Times New Roman"/>
              </w:rPr>
            </w:pPr>
            <w:r>
              <w:rPr>
                <w:rFonts w:ascii="Times New Roman" w:hAnsi="Times New Roman" w:cs="Times New Roman"/>
                <w:color w:val="000000"/>
                <w:sz w:val="20"/>
                <w:szCs w:val="20"/>
              </w:rPr>
              <w:t xml:space="preserve">48245 </w:t>
            </w:r>
          </w:p>
        </w:tc>
      </w:tr>
      <w:tr>
        <w:trPr>
          <w:trHeight w:val="285" w:hRule="atLeast"/>
          <w:jc w:val="center"/>
        </w:trPr>
        <w:tc>
          <w:tcPr>
            <w:tcW w:w="2612" w:type="dxa"/>
            <w:vAlign w:val="center"/>
          </w:tcPr>
          <w:p>
            <w:pPr>
              <w:autoSpaceDN w:val="0"/>
              <w:jc w:val="center"/>
              <w:textAlignment w:val="center"/>
              <w:rPr>
                <w:rFonts w:ascii="Times New Roman" w:hAnsi="Times New Roman" w:cs="Times New Roman"/>
                <w:b/>
                <w:bCs/>
              </w:rPr>
            </w:pPr>
            <w:r>
              <w:rPr>
                <w:rFonts w:hint="eastAsia" w:ascii="Times New Roman" w:hAnsi="Times New Roman" w:cs="宋体"/>
                <w:b/>
                <w:bCs/>
              </w:rPr>
              <w:t>全球总计</w:t>
            </w:r>
          </w:p>
        </w:tc>
        <w:tc>
          <w:tcPr>
            <w:tcW w:w="1336" w:type="dxa"/>
            <w:vAlign w:val="center"/>
          </w:tcPr>
          <w:p>
            <w:pPr>
              <w:autoSpaceDN w:val="0"/>
              <w:jc w:val="center"/>
              <w:textAlignment w:val="center"/>
              <w:rPr>
                <w:rFonts w:ascii="Times New Roman" w:hAnsi="Times New Roman" w:cs="Times New Roman"/>
                <w:b/>
                <w:bCs/>
              </w:rPr>
            </w:pPr>
            <w:r>
              <w:rPr>
                <w:rFonts w:ascii="Times New Roman" w:hAnsi="Times New Roman" w:cs="Times New Roman"/>
                <w:b/>
                <w:bCs/>
              </w:rPr>
              <w:t>78,188</w:t>
            </w:r>
          </w:p>
        </w:tc>
        <w:tc>
          <w:tcPr>
            <w:tcW w:w="1335" w:type="dxa"/>
            <w:vAlign w:val="center"/>
          </w:tcPr>
          <w:p>
            <w:pPr>
              <w:autoSpaceDN w:val="0"/>
              <w:jc w:val="center"/>
              <w:textAlignment w:val="center"/>
              <w:rPr>
                <w:rFonts w:ascii="Times New Roman" w:hAnsi="Times New Roman" w:cs="Times New Roman"/>
                <w:b/>
                <w:bCs/>
              </w:rPr>
            </w:pPr>
            <w:r>
              <w:rPr>
                <w:rFonts w:ascii="Times New Roman" w:hAnsi="Times New Roman" w:cs="Times New Roman"/>
                <w:b/>
                <w:bCs/>
              </w:rPr>
              <w:t>84,268</w:t>
            </w:r>
          </w:p>
        </w:tc>
        <w:tc>
          <w:tcPr>
            <w:tcW w:w="1335" w:type="dxa"/>
            <w:vAlign w:val="center"/>
          </w:tcPr>
          <w:p>
            <w:pPr>
              <w:jc w:val="center"/>
              <w:rPr>
                <w:rFonts w:ascii="Times New Roman" w:hAnsi="Times New Roman" w:cs="Times New Roman"/>
                <w:b/>
                <w:bCs/>
              </w:rPr>
            </w:pPr>
            <w:r>
              <w:rPr>
                <w:rFonts w:ascii="Times New Roman" w:hAnsi="Times New Roman" w:cs="Times New Roman"/>
                <w:b/>
                <w:bCs/>
              </w:rPr>
              <w:t>88,494</w:t>
            </w:r>
          </w:p>
        </w:tc>
        <w:tc>
          <w:tcPr>
            <w:tcW w:w="1335" w:type="dxa"/>
            <w:vAlign w:val="center"/>
          </w:tcPr>
          <w:p>
            <w:pPr>
              <w:jc w:val="center"/>
              <w:rPr>
                <w:rFonts w:ascii="Times New Roman" w:hAnsi="Times New Roman" w:cs="Times New Roman"/>
                <w:b/>
                <w:bCs/>
              </w:rPr>
            </w:pPr>
            <w:r>
              <w:rPr>
                <w:rFonts w:ascii="Times New Roman" w:hAnsi="Times New Roman" w:cs="Times New Roman"/>
                <w:b/>
                <w:bCs/>
              </w:rPr>
              <w:t>82,507</w:t>
            </w:r>
          </w:p>
        </w:tc>
        <w:tc>
          <w:tcPr>
            <w:tcW w:w="1333" w:type="dxa"/>
            <w:vAlign w:val="center"/>
          </w:tcPr>
          <w:p>
            <w:pPr>
              <w:jc w:val="center"/>
              <w:rPr>
                <w:rFonts w:ascii="Times New Roman" w:hAnsi="Times New Roman" w:cs="Times New Roman"/>
                <w:b/>
                <w:bCs/>
              </w:rPr>
            </w:pPr>
            <w:r>
              <w:rPr>
                <w:rFonts w:ascii="Times New Roman" w:hAnsi="Times New Roman" w:cs="Times New Roman"/>
                <w:b/>
                <w:bCs/>
                <w:color w:val="000000"/>
                <w:sz w:val="20"/>
                <w:szCs w:val="20"/>
              </w:rPr>
              <w:t xml:space="preserve">81,505 </w:t>
            </w:r>
          </w:p>
        </w:tc>
      </w:tr>
    </w:tbl>
    <w:p>
      <w:pPr>
        <w:spacing w:afterLines="50"/>
        <w:ind w:firstLine="31680" w:firstLineChars="135"/>
        <w:rPr>
          <w:rFonts w:ascii="楷体" w:hAnsi="楷体" w:eastAsia="楷体" w:cs="Times New Roman"/>
        </w:rPr>
      </w:pPr>
      <w:r>
        <w:rPr>
          <w:rFonts w:hint="eastAsia" w:ascii="楷体" w:hAnsi="楷体" w:eastAsia="楷体" w:cs="楷体"/>
        </w:rPr>
        <w:t>数据来源：国际钨协，安泰科</w:t>
      </w:r>
    </w:p>
    <w:p>
      <w:pPr>
        <w:spacing w:line="560" w:lineRule="exact"/>
        <w:ind w:firstLine="31680" w:firstLineChars="196"/>
        <w:rPr>
          <w:rFonts w:ascii="仿宋" w:hAnsi="仿宋" w:eastAsia="仿宋" w:cs="Times New Roman"/>
          <w:sz w:val="28"/>
          <w:szCs w:val="28"/>
        </w:rPr>
      </w:pPr>
      <w:r>
        <w:rPr>
          <w:rFonts w:hint="eastAsia" w:ascii="仿宋" w:hAnsi="仿宋" w:eastAsia="仿宋" w:cs="仿宋"/>
          <w:sz w:val="28"/>
          <w:szCs w:val="28"/>
        </w:rPr>
        <w:t>根据全球经济形势与下游硬质合金等行业消费情况来看，其中以美国为主的国家和地区经济增长将带动一部分钨消费，而随着我国工业制造业的升级，硬质合金及相关材料的市场增长速度也将不断提高。综合以上考虑，在钨主要消费国家的带动下，未来</w:t>
      </w:r>
      <w:r>
        <w:rPr>
          <w:rFonts w:ascii="仿宋" w:hAnsi="仿宋" w:eastAsia="仿宋" w:cs="仿宋"/>
          <w:sz w:val="28"/>
          <w:szCs w:val="28"/>
        </w:rPr>
        <w:t>5</w:t>
      </w:r>
      <w:r>
        <w:rPr>
          <w:rFonts w:hint="eastAsia" w:ascii="仿宋" w:hAnsi="仿宋" w:eastAsia="仿宋" w:cs="仿宋"/>
          <w:sz w:val="28"/>
          <w:szCs w:val="28"/>
        </w:rPr>
        <w:t>年全球钨消费量有望稳步提升，预计到</w:t>
      </w:r>
      <w:r>
        <w:rPr>
          <w:rFonts w:ascii="仿宋" w:hAnsi="仿宋" w:eastAsia="仿宋" w:cs="仿宋"/>
          <w:sz w:val="28"/>
          <w:szCs w:val="28"/>
        </w:rPr>
        <w:t>2025</w:t>
      </w:r>
      <w:r>
        <w:rPr>
          <w:rFonts w:hint="eastAsia" w:ascii="仿宋" w:hAnsi="仿宋" w:eastAsia="仿宋" w:cs="仿宋"/>
          <w:sz w:val="28"/>
          <w:szCs w:val="28"/>
        </w:rPr>
        <w:t>年全球钨原钨消费量将达</w:t>
      </w:r>
      <w:r>
        <w:rPr>
          <w:rFonts w:ascii="仿宋" w:hAnsi="仿宋" w:eastAsia="仿宋" w:cs="仿宋"/>
          <w:sz w:val="28"/>
          <w:szCs w:val="28"/>
        </w:rPr>
        <w:t>9.7</w:t>
      </w:r>
      <w:r>
        <w:rPr>
          <w:rFonts w:hint="eastAsia" w:ascii="仿宋" w:hAnsi="仿宋" w:eastAsia="仿宋" w:cs="仿宋"/>
          <w:sz w:val="28"/>
          <w:szCs w:val="28"/>
        </w:rPr>
        <w:t>万吨，年均增速约</w:t>
      </w:r>
      <w:r>
        <w:rPr>
          <w:rFonts w:ascii="仿宋" w:hAnsi="仿宋" w:eastAsia="仿宋" w:cs="仿宋"/>
          <w:sz w:val="28"/>
          <w:szCs w:val="28"/>
        </w:rPr>
        <w:t>2.8%</w:t>
      </w:r>
      <w:r>
        <w:rPr>
          <w:rFonts w:hint="eastAsia" w:ascii="仿宋" w:hAnsi="仿宋" w:eastAsia="仿宋" w:cs="仿宋"/>
          <w:sz w:val="28"/>
          <w:szCs w:val="28"/>
        </w:rPr>
        <w:t>。</w:t>
      </w:r>
    </w:p>
    <w:p>
      <w:pPr>
        <w:adjustRightInd w:val="0"/>
        <w:snapToGrid w:val="0"/>
        <w:spacing w:beforeLines="50"/>
        <w:jc w:val="center"/>
        <w:rPr>
          <w:rFonts w:ascii="黑体" w:hAnsi="黑体" w:eastAsia="黑体" w:cs="Times New Roman"/>
        </w:rPr>
      </w:pPr>
      <w:r>
        <w:rPr>
          <w:rFonts w:hint="eastAsia" w:ascii="黑体" w:hAnsi="黑体" w:eastAsia="黑体" w:cs="黑体"/>
        </w:rPr>
        <w:t>表</w:t>
      </w:r>
      <w:r>
        <w:rPr>
          <w:rFonts w:ascii="黑体" w:hAnsi="黑体" w:eastAsia="黑体" w:cs="黑体"/>
        </w:rPr>
        <w:t>2-12   2021-2025</w:t>
      </w:r>
      <w:r>
        <w:rPr>
          <w:rFonts w:hint="eastAsia" w:ascii="黑体" w:hAnsi="黑体" w:eastAsia="黑体" w:cs="黑体"/>
        </w:rPr>
        <w:t>年世界钨消费预测</w:t>
      </w:r>
      <w:r>
        <w:rPr>
          <w:rFonts w:ascii="黑体" w:hAnsi="黑体" w:eastAsia="黑体" w:cs="黑体"/>
        </w:rPr>
        <w:t xml:space="preserve"> </w:t>
      </w:r>
      <w:r>
        <w:rPr>
          <w:rFonts w:hint="eastAsia" w:ascii="黑体" w:hAnsi="黑体" w:eastAsia="黑体" w:cs="黑体"/>
        </w:rPr>
        <w:t>（单位：吨金属量）</w:t>
      </w:r>
    </w:p>
    <w:tbl>
      <w:tblPr>
        <w:tblW w:w="9286"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
      <w:tblGrid>
        <w:gridCol w:w="2276"/>
        <w:gridCol w:w="1402"/>
        <w:gridCol w:w="1402"/>
        <w:gridCol w:w="1402"/>
        <w:gridCol w:w="1402"/>
        <w:gridCol w:w="1402"/>
      </w:tblGrid>
      <w:tr>
        <w:trPr>
          <w:trHeight w:val="285" w:hRule="atLeast"/>
        </w:trPr>
        <w:tc>
          <w:tcPr>
            <w:tcW w:w="2276" w:type="dxa"/>
            <w:shd w:val="clear" w:color="auto" w:fill="D9D9D9"/>
            <w:vAlign w:val="center"/>
          </w:tcPr>
          <w:p>
            <w:pPr>
              <w:jc w:val="center"/>
              <w:rPr>
                <w:rFonts w:ascii="Times New Roman" w:hAnsi="Times New Roman" w:cs="Times New Roman"/>
                <w:b/>
                <w:bCs/>
              </w:rPr>
            </w:pPr>
          </w:p>
        </w:tc>
        <w:tc>
          <w:tcPr>
            <w:tcW w:w="1402" w:type="dxa"/>
            <w:shd w:val="clear" w:color="auto" w:fill="D9D9D9"/>
            <w:vAlign w:val="center"/>
          </w:tcPr>
          <w:p>
            <w:pPr>
              <w:jc w:val="center"/>
              <w:rPr>
                <w:rFonts w:ascii="Times New Roman" w:hAnsi="Times New Roman" w:cs="Times New Roman"/>
                <w:b/>
                <w:bCs/>
              </w:rPr>
            </w:pPr>
            <w:r>
              <w:rPr>
                <w:rFonts w:ascii="Times New Roman" w:hAnsi="Times New Roman" w:cs="Times New Roman"/>
                <w:b/>
                <w:bCs/>
              </w:rPr>
              <w:t>2021</w:t>
            </w:r>
          </w:p>
        </w:tc>
        <w:tc>
          <w:tcPr>
            <w:tcW w:w="1402" w:type="dxa"/>
            <w:shd w:val="clear" w:color="auto" w:fill="D9D9D9"/>
            <w:vAlign w:val="center"/>
          </w:tcPr>
          <w:p>
            <w:pPr>
              <w:jc w:val="center"/>
              <w:rPr>
                <w:rFonts w:ascii="Times New Roman" w:hAnsi="Times New Roman" w:cs="Times New Roman"/>
                <w:b/>
                <w:bCs/>
              </w:rPr>
            </w:pPr>
            <w:r>
              <w:rPr>
                <w:rFonts w:ascii="Times New Roman" w:hAnsi="Times New Roman" w:cs="Times New Roman"/>
                <w:b/>
                <w:bCs/>
              </w:rPr>
              <w:t>2022</w:t>
            </w:r>
          </w:p>
        </w:tc>
        <w:tc>
          <w:tcPr>
            <w:tcW w:w="1402" w:type="dxa"/>
            <w:shd w:val="clear" w:color="auto" w:fill="D9D9D9"/>
            <w:vAlign w:val="center"/>
          </w:tcPr>
          <w:p>
            <w:pPr>
              <w:jc w:val="center"/>
              <w:rPr>
                <w:rFonts w:ascii="Times New Roman" w:hAnsi="Times New Roman" w:cs="Times New Roman"/>
                <w:b/>
                <w:bCs/>
              </w:rPr>
            </w:pPr>
            <w:r>
              <w:rPr>
                <w:rFonts w:ascii="Times New Roman" w:hAnsi="Times New Roman" w:cs="Times New Roman"/>
                <w:b/>
                <w:bCs/>
              </w:rPr>
              <w:t>2023</w:t>
            </w:r>
          </w:p>
        </w:tc>
        <w:tc>
          <w:tcPr>
            <w:tcW w:w="1402" w:type="dxa"/>
            <w:shd w:val="clear" w:color="auto" w:fill="D9D9D9"/>
            <w:vAlign w:val="center"/>
          </w:tcPr>
          <w:p>
            <w:pPr>
              <w:jc w:val="center"/>
              <w:rPr>
                <w:rFonts w:ascii="Times New Roman" w:hAnsi="Times New Roman" w:cs="Times New Roman"/>
                <w:b/>
                <w:bCs/>
              </w:rPr>
            </w:pPr>
            <w:r>
              <w:rPr>
                <w:rFonts w:ascii="Times New Roman" w:hAnsi="Times New Roman" w:cs="Times New Roman"/>
                <w:b/>
                <w:bCs/>
              </w:rPr>
              <w:t>2024</w:t>
            </w:r>
          </w:p>
        </w:tc>
        <w:tc>
          <w:tcPr>
            <w:tcW w:w="1402" w:type="dxa"/>
            <w:shd w:val="clear" w:color="auto" w:fill="D9D9D9"/>
            <w:vAlign w:val="center"/>
          </w:tcPr>
          <w:p>
            <w:pPr>
              <w:jc w:val="center"/>
              <w:rPr>
                <w:rFonts w:ascii="Times New Roman" w:hAnsi="Times New Roman" w:cs="Times New Roman"/>
                <w:b/>
                <w:bCs/>
              </w:rPr>
            </w:pPr>
            <w:r>
              <w:rPr>
                <w:rFonts w:ascii="Times New Roman" w:hAnsi="Times New Roman" w:cs="Times New Roman"/>
                <w:b/>
                <w:bCs/>
              </w:rPr>
              <w:t>2025</w:t>
            </w:r>
          </w:p>
        </w:tc>
      </w:tr>
      <w:tr>
        <w:trPr>
          <w:trHeight w:val="315" w:hRule="atLeast"/>
        </w:trPr>
        <w:tc>
          <w:tcPr>
            <w:tcW w:w="2276" w:type="dxa"/>
            <w:shd w:val="clear" w:color="auto" w:fill="FFFFFF"/>
            <w:vAlign w:val="center"/>
          </w:tcPr>
          <w:p>
            <w:pPr>
              <w:rPr>
                <w:rFonts w:ascii="Times New Roman" w:hAnsi="Times New Roman" w:cs="Times New Roman"/>
              </w:rPr>
            </w:pPr>
            <w:r>
              <w:rPr>
                <w:rFonts w:hint="eastAsia" w:ascii="Times New Roman" w:hAnsi="Times New Roman" w:cs="宋体"/>
              </w:rPr>
              <w:t>中国消费量</w:t>
            </w:r>
          </w:p>
        </w:tc>
        <w:tc>
          <w:tcPr>
            <w:tcW w:w="1402" w:type="dxa"/>
            <w:shd w:val="clear" w:color="auto" w:fill="FFFFFF"/>
            <w:vAlign w:val="center"/>
          </w:tcPr>
          <w:p>
            <w:pPr>
              <w:jc w:val="center"/>
              <w:rPr>
                <w:rFonts w:ascii="Times New Roman" w:hAnsi="Times New Roman" w:cs="Times New Roman"/>
              </w:rPr>
            </w:pPr>
            <w:r>
              <w:rPr>
                <w:rFonts w:ascii="Times New Roman" w:hAnsi="Times New Roman" w:eastAsia="等线" w:cs="Times New Roman"/>
                <w:color w:val="000000"/>
              </w:rPr>
              <w:t>52,405</w:t>
            </w:r>
          </w:p>
        </w:tc>
        <w:tc>
          <w:tcPr>
            <w:tcW w:w="1402" w:type="dxa"/>
            <w:shd w:val="clear" w:color="auto" w:fill="FFFFFF"/>
            <w:vAlign w:val="center"/>
          </w:tcPr>
          <w:p>
            <w:pPr>
              <w:jc w:val="center"/>
              <w:rPr>
                <w:rFonts w:ascii="Times New Roman" w:hAnsi="Times New Roman" w:cs="Times New Roman"/>
              </w:rPr>
            </w:pPr>
            <w:r>
              <w:rPr>
                <w:rFonts w:ascii="Times New Roman" w:hAnsi="Times New Roman" w:eastAsia="等线" w:cs="Times New Roman"/>
                <w:color w:val="000000"/>
              </w:rPr>
              <w:t>54,088</w:t>
            </w:r>
          </w:p>
        </w:tc>
        <w:tc>
          <w:tcPr>
            <w:tcW w:w="1402" w:type="dxa"/>
            <w:shd w:val="clear" w:color="auto" w:fill="FFFFFF"/>
            <w:vAlign w:val="center"/>
          </w:tcPr>
          <w:p>
            <w:pPr>
              <w:jc w:val="center"/>
              <w:rPr>
                <w:rFonts w:ascii="Times New Roman" w:hAnsi="Times New Roman" w:cs="Times New Roman"/>
              </w:rPr>
            </w:pPr>
            <w:r>
              <w:rPr>
                <w:rFonts w:ascii="Times New Roman" w:hAnsi="Times New Roman" w:eastAsia="等线" w:cs="Times New Roman"/>
                <w:color w:val="000000"/>
              </w:rPr>
              <w:t>55,827</w:t>
            </w:r>
          </w:p>
        </w:tc>
        <w:tc>
          <w:tcPr>
            <w:tcW w:w="1402" w:type="dxa"/>
            <w:shd w:val="clear" w:color="auto" w:fill="FFFFFF"/>
            <w:vAlign w:val="center"/>
          </w:tcPr>
          <w:p>
            <w:pPr>
              <w:jc w:val="center"/>
              <w:rPr>
                <w:rFonts w:ascii="Times New Roman" w:hAnsi="Times New Roman" w:cs="Times New Roman"/>
              </w:rPr>
            </w:pPr>
            <w:r>
              <w:rPr>
                <w:rFonts w:ascii="Times New Roman" w:hAnsi="Times New Roman" w:eastAsia="等线" w:cs="Times New Roman"/>
                <w:color w:val="000000"/>
              </w:rPr>
              <w:t>57,622</w:t>
            </w:r>
          </w:p>
        </w:tc>
        <w:tc>
          <w:tcPr>
            <w:tcW w:w="1402" w:type="dxa"/>
            <w:shd w:val="clear" w:color="auto" w:fill="FFFFFF"/>
            <w:vAlign w:val="center"/>
          </w:tcPr>
          <w:p>
            <w:pPr>
              <w:jc w:val="center"/>
              <w:rPr>
                <w:rFonts w:ascii="Times New Roman" w:hAnsi="Times New Roman" w:cs="Times New Roman"/>
              </w:rPr>
            </w:pPr>
            <w:r>
              <w:rPr>
                <w:rFonts w:ascii="Times New Roman" w:hAnsi="Times New Roman" w:eastAsia="等线" w:cs="Times New Roman"/>
                <w:color w:val="000000"/>
              </w:rPr>
              <w:t>59,475</w:t>
            </w:r>
          </w:p>
        </w:tc>
      </w:tr>
      <w:tr>
        <w:trPr>
          <w:trHeight w:val="285" w:hRule="atLeast"/>
        </w:trPr>
        <w:tc>
          <w:tcPr>
            <w:tcW w:w="2276" w:type="dxa"/>
            <w:shd w:val="clear" w:color="auto" w:fill="FFFFFF"/>
            <w:vAlign w:val="center"/>
          </w:tcPr>
          <w:p>
            <w:pPr>
              <w:rPr>
                <w:rFonts w:ascii="Times New Roman" w:hAnsi="Times New Roman" w:cs="Times New Roman"/>
              </w:rPr>
            </w:pPr>
            <w:r>
              <w:rPr>
                <w:rFonts w:hint="eastAsia" w:ascii="Times New Roman" w:hAnsi="Times New Roman" w:cs="宋体"/>
              </w:rPr>
              <w:t>其他国家消费量</w:t>
            </w:r>
          </w:p>
        </w:tc>
        <w:tc>
          <w:tcPr>
            <w:tcW w:w="1402" w:type="dxa"/>
            <w:shd w:val="clear" w:color="auto" w:fill="FFFFFF"/>
            <w:vAlign w:val="center"/>
          </w:tcPr>
          <w:p>
            <w:pPr>
              <w:jc w:val="center"/>
              <w:rPr>
                <w:rFonts w:ascii="Times New Roman" w:hAnsi="Times New Roman" w:cs="Times New Roman"/>
              </w:rPr>
            </w:pPr>
            <w:r>
              <w:rPr>
                <w:rFonts w:ascii="Times New Roman" w:hAnsi="Times New Roman" w:eastAsia="等线" w:cs="Times New Roman"/>
                <w:color w:val="000000"/>
              </w:rPr>
              <w:t>34,406</w:t>
            </w:r>
          </w:p>
        </w:tc>
        <w:tc>
          <w:tcPr>
            <w:tcW w:w="1402" w:type="dxa"/>
            <w:shd w:val="clear" w:color="auto" w:fill="FFFFFF"/>
            <w:vAlign w:val="center"/>
          </w:tcPr>
          <w:p>
            <w:pPr>
              <w:jc w:val="center"/>
              <w:rPr>
                <w:rFonts w:ascii="Times New Roman" w:hAnsi="Times New Roman" w:cs="Times New Roman"/>
              </w:rPr>
            </w:pPr>
            <w:r>
              <w:rPr>
                <w:rFonts w:ascii="Times New Roman" w:hAnsi="Times New Roman" w:eastAsia="等线" w:cs="Times New Roman"/>
                <w:color w:val="000000"/>
              </w:rPr>
              <w:t>34,644</w:t>
            </w:r>
          </w:p>
        </w:tc>
        <w:tc>
          <w:tcPr>
            <w:tcW w:w="1402" w:type="dxa"/>
            <w:shd w:val="clear" w:color="auto" w:fill="FFFFFF"/>
            <w:vAlign w:val="center"/>
          </w:tcPr>
          <w:p>
            <w:pPr>
              <w:jc w:val="center"/>
              <w:rPr>
                <w:rFonts w:ascii="Times New Roman" w:hAnsi="Times New Roman" w:cs="Times New Roman"/>
              </w:rPr>
            </w:pPr>
            <w:r>
              <w:rPr>
                <w:rFonts w:ascii="Times New Roman" w:hAnsi="Times New Roman" w:eastAsia="等线" w:cs="Times New Roman"/>
                <w:color w:val="000000"/>
              </w:rPr>
              <w:t>35,541</w:t>
            </w:r>
          </w:p>
        </w:tc>
        <w:tc>
          <w:tcPr>
            <w:tcW w:w="1402" w:type="dxa"/>
            <w:shd w:val="clear" w:color="auto" w:fill="FFFFFF"/>
            <w:vAlign w:val="center"/>
          </w:tcPr>
          <w:p>
            <w:pPr>
              <w:jc w:val="center"/>
              <w:rPr>
                <w:rFonts w:ascii="Times New Roman" w:hAnsi="Times New Roman" w:cs="Times New Roman"/>
              </w:rPr>
            </w:pPr>
            <w:r>
              <w:rPr>
                <w:rFonts w:ascii="Times New Roman" w:hAnsi="Times New Roman" w:eastAsia="等线" w:cs="Times New Roman"/>
                <w:color w:val="000000"/>
              </w:rPr>
              <w:t>36,458</w:t>
            </w:r>
          </w:p>
        </w:tc>
        <w:tc>
          <w:tcPr>
            <w:tcW w:w="1402" w:type="dxa"/>
            <w:shd w:val="clear" w:color="auto" w:fill="FFFFFF"/>
            <w:vAlign w:val="center"/>
          </w:tcPr>
          <w:p>
            <w:pPr>
              <w:jc w:val="center"/>
              <w:rPr>
                <w:rFonts w:ascii="Times New Roman" w:hAnsi="Times New Roman" w:cs="Times New Roman"/>
              </w:rPr>
            </w:pPr>
            <w:r>
              <w:rPr>
                <w:rFonts w:ascii="Times New Roman" w:hAnsi="Times New Roman" w:eastAsia="等线" w:cs="Times New Roman"/>
                <w:color w:val="000000"/>
              </w:rPr>
              <w:t>37,396</w:t>
            </w:r>
          </w:p>
        </w:tc>
      </w:tr>
      <w:tr>
        <w:trPr>
          <w:trHeight w:val="285" w:hRule="atLeast"/>
        </w:trPr>
        <w:tc>
          <w:tcPr>
            <w:tcW w:w="2276" w:type="dxa"/>
            <w:shd w:val="clear" w:color="auto" w:fill="FFFFFF"/>
            <w:vAlign w:val="center"/>
          </w:tcPr>
          <w:p>
            <w:pPr>
              <w:rPr>
                <w:rFonts w:ascii="Times New Roman" w:hAnsi="Times New Roman" w:cs="Times New Roman"/>
                <w:b/>
                <w:bCs/>
              </w:rPr>
            </w:pPr>
            <w:r>
              <w:rPr>
                <w:rFonts w:hint="eastAsia" w:ascii="Times New Roman" w:hAnsi="Times New Roman" w:cs="宋体"/>
                <w:b/>
                <w:bCs/>
              </w:rPr>
              <w:t>全球总计</w:t>
            </w:r>
          </w:p>
        </w:tc>
        <w:tc>
          <w:tcPr>
            <w:tcW w:w="1402" w:type="dxa"/>
            <w:shd w:val="clear" w:color="auto" w:fill="FFFFFF"/>
            <w:vAlign w:val="center"/>
          </w:tcPr>
          <w:p>
            <w:pPr>
              <w:jc w:val="center"/>
              <w:rPr>
                <w:rFonts w:ascii="Times New Roman" w:hAnsi="Times New Roman" w:cs="Times New Roman"/>
                <w:b/>
                <w:bCs/>
              </w:rPr>
            </w:pPr>
            <w:r>
              <w:rPr>
                <w:rFonts w:ascii="Times New Roman" w:hAnsi="Times New Roman" w:eastAsia="等线" w:cs="Times New Roman"/>
                <w:b/>
                <w:bCs/>
                <w:color w:val="000000"/>
              </w:rPr>
              <w:t>86,811</w:t>
            </w:r>
          </w:p>
        </w:tc>
        <w:tc>
          <w:tcPr>
            <w:tcW w:w="1402" w:type="dxa"/>
            <w:shd w:val="clear" w:color="auto" w:fill="FFFFFF"/>
            <w:vAlign w:val="center"/>
          </w:tcPr>
          <w:p>
            <w:pPr>
              <w:jc w:val="center"/>
              <w:rPr>
                <w:rFonts w:ascii="Times New Roman" w:hAnsi="Times New Roman" w:cs="Times New Roman"/>
                <w:b/>
                <w:bCs/>
              </w:rPr>
            </w:pPr>
            <w:r>
              <w:rPr>
                <w:rFonts w:ascii="Times New Roman" w:hAnsi="Times New Roman" w:eastAsia="等线" w:cs="Times New Roman"/>
                <w:b/>
                <w:bCs/>
                <w:color w:val="000000"/>
              </w:rPr>
              <w:t>88,732</w:t>
            </w:r>
          </w:p>
        </w:tc>
        <w:tc>
          <w:tcPr>
            <w:tcW w:w="1402" w:type="dxa"/>
            <w:shd w:val="clear" w:color="auto" w:fill="FFFFFF"/>
            <w:vAlign w:val="center"/>
          </w:tcPr>
          <w:p>
            <w:pPr>
              <w:jc w:val="center"/>
              <w:rPr>
                <w:rFonts w:ascii="Times New Roman" w:hAnsi="Times New Roman" w:cs="Times New Roman"/>
                <w:b/>
                <w:bCs/>
              </w:rPr>
            </w:pPr>
            <w:r>
              <w:rPr>
                <w:rFonts w:ascii="Times New Roman" w:hAnsi="Times New Roman" w:eastAsia="等线" w:cs="Times New Roman"/>
                <w:b/>
                <w:bCs/>
                <w:color w:val="000000"/>
              </w:rPr>
              <w:t>91,367</w:t>
            </w:r>
          </w:p>
        </w:tc>
        <w:tc>
          <w:tcPr>
            <w:tcW w:w="1402" w:type="dxa"/>
            <w:shd w:val="clear" w:color="auto" w:fill="FFFFFF"/>
            <w:vAlign w:val="center"/>
          </w:tcPr>
          <w:p>
            <w:pPr>
              <w:jc w:val="center"/>
              <w:rPr>
                <w:rFonts w:ascii="Times New Roman" w:hAnsi="Times New Roman" w:cs="Times New Roman"/>
                <w:b/>
                <w:bCs/>
              </w:rPr>
            </w:pPr>
            <w:r>
              <w:rPr>
                <w:rFonts w:ascii="Times New Roman" w:hAnsi="Times New Roman" w:eastAsia="等线" w:cs="Times New Roman"/>
                <w:b/>
                <w:bCs/>
                <w:color w:val="000000"/>
              </w:rPr>
              <w:t>94,080</w:t>
            </w:r>
          </w:p>
        </w:tc>
        <w:tc>
          <w:tcPr>
            <w:tcW w:w="1402" w:type="dxa"/>
            <w:shd w:val="clear" w:color="auto" w:fill="FFFFFF"/>
            <w:vAlign w:val="center"/>
          </w:tcPr>
          <w:p>
            <w:pPr>
              <w:jc w:val="center"/>
              <w:rPr>
                <w:rFonts w:ascii="Times New Roman" w:hAnsi="Times New Roman" w:cs="Times New Roman"/>
                <w:b/>
                <w:bCs/>
              </w:rPr>
            </w:pPr>
            <w:r>
              <w:rPr>
                <w:rFonts w:ascii="Times New Roman" w:hAnsi="Times New Roman" w:eastAsia="等线" w:cs="Times New Roman"/>
                <w:b/>
                <w:bCs/>
                <w:color w:val="000000"/>
              </w:rPr>
              <w:t>96,872</w:t>
            </w:r>
          </w:p>
        </w:tc>
      </w:tr>
    </w:tbl>
    <w:p>
      <w:pPr>
        <w:spacing w:afterLines="50"/>
        <w:ind w:firstLine="31680" w:firstLineChars="135"/>
        <w:rPr>
          <w:rFonts w:ascii="楷体" w:hAnsi="楷体" w:eastAsia="楷体" w:cs="Times New Roman"/>
        </w:rPr>
      </w:pPr>
      <w:r>
        <w:rPr>
          <w:rFonts w:hint="eastAsia" w:ascii="楷体" w:hAnsi="楷体" w:eastAsia="楷体" w:cs="楷体"/>
        </w:rPr>
        <w:t>数据来源：安泰科</w:t>
      </w:r>
    </w:p>
    <w:p>
      <w:pPr>
        <w:spacing w:line="560" w:lineRule="exact"/>
        <w:ind w:firstLine="31680" w:firstLineChars="196"/>
        <w:rPr>
          <w:rFonts w:ascii="仿宋" w:hAnsi="仿宋" w:eastAsia="仿宋" w:cs="Times New Roman"/>
          <w:sz w:val="28"/>
          <w:szCs w:val="28"/>
        </w:rPr>
      </w:pPr>
      <w:r>
        <w:rPr>
          <w:rFonts w:hint="eastAsia" w:ascii="仿宋" w:hAnsi="仿宋" w:eastAsia="仿宋" w:cs="仿宋"/>
          <w:sz w:val="28"/>
          <w:szCs w:val="28"/>
        </w:rPr>
        <w:t>随着数控机床、加工中心在机械加工各领域的应用不断扩大，高性能高精度研磨涂层刀片及配套工具等高附加值硬质合金制品需求将不断增加。高性能超细、纳米硬质合金和功能梯度合金等都会不断研发生产并得到广泛应用，从而更进一步满足工业制造的应用需求，促进硬质合金在不同行业和不同领域的应用需求不断扩大。预计到</w:t>
      </w:r>
      <w:r>
        <w:rPr>
          <w:rFonts w:ascii="仿宋" w:hAnsi="仿宋" w:eastAsia="仿宋" w:cs="仿宋"/>
          <w:sz w:val="28"/>
          <w:szCs w:val="28"/>
        </w:rPr>
        <w:t>2025</w:t>
      </w:r>
      <w:r>
        <w:rPr>
          <w:rFonts w:hint="eastAsia" w:ascii="仿宋" w:hAnsi="仿宋" w:eastAsia="仿宋" w:cs="仿宋"/>
          <w:sz w:val="28"/>
          <w:szCs w:val="28"/>
        </w:rPr>
        <w:t>年，中国钨消费量在硬质合金需求量增长的带动下将达</w:t>
      </w:r>
      <w:r>
        <w:rPr>
          <w:rFonts w:ascii="仿宋" w:hAnsi="仿宋" w:eastAsia="仿宋" w:cs="仿宋"/>
          <w:sz w:val="28"/>
          <w:szCs w:val="28"/>
        </w:rPr>
        <w:t>5.9</w:t>
      </w:r>
      <w:r>
        <w:rPr>
          <w:rFonts w:hint="eastAsia" w:ascii="仿宋" w:hAnsi="仿宋" w:eastAsia="仿宋" w:cs="仿宋"/>
          <w:sz w:val="28"/>
          <w:szCs w:val="28"/>
        </w:rPr>
        <w:t>万吨，未来五年年均增速达</w:t>
      </w:r>
      <w:r>
        <w:rPr>
          <w:rFonts w:ascii="仿宋" w:hAnsi="仿宋" w:eastAsia="仿宋" w:cs="仿宋"/>
          <w:sz w:val="28"/>
          <w:szCs w:val="28"/>
        </w:rPr>
        <w:t>3.2%</w:t>
      </w:r>
      <w:r>
        <w:rPr>
          <w:rFonts w:hint="eastAsia" w:ascii="仿宋" w:hAnsi="仿宋" w:eastAsia="仿宋" w:cs="仿宋"/>
          <w:sz w:val="28"/>
          <w:szCs w:val="28"/>
        </w:rPr>
        <w:t>。</w:t>
      </w:r>
    </w:p>
    <w:p>
      <w:pPr>
        <w:adjustRightInd w:val="0"/>
        <w:snapToGrid w:val="0"/>
        <w:spacing w:beforeLines="50"/>
        <w:jc w:val="center"/>
        <w:rPr>
          <w:rFonts w:ascii="黑体" w:hAnsi="黑体" w:eastAsia="黑体" w:cs="Times New Roman"/>
        </w:rPr>
      </w:pPr>
      <w:r>
        <w:rPr>
          <w:rFonts w:hint="eastAsia" w:ascii="黑体" w:hAnsi="黑体" w:eastAsia="黑体" w:cs="黑体"/>
        </w:rPr>
        <w:t>表</w:t>
      </w:r>
      <w:r>
        <w:rPr>
          <w:rFonts w:ascii="黑体" w:hAnsi="黑体" w:eastAsia="黑体" w:cs="黑体"/>
        </w:rPr>
        <w:t>2-13   2016-2025</w:t>
      </w:r>
      <w:r>
        <w:rPr>
          <w:rFonts w:hint="eastAsia" w:ascii="黑体" w:hAnsi="黑体" w:eastAsia="黑体" w:cs="黑体"/>
        </w:rPr>
        <w:t>年世界钨供需平衡</w:t>
      </w:r>
      <w:r>
        <w:rPr>
          <w:rFonts w:ascii="黑体" w:hAnsi="黑体" w:eastAsia="黑体" w:cs="黑体"/>
        </w:rPr>
        <w:t xml:space="preserve"> </w:t>
      </w:r>
      <w:r>
        <w:rPr>
          <w:rFonts w:hint="eastAsia" w:ascii="黑体" w:hAnsi="黑体" w:eastAsia="黑体" w:cs="黑体"/>
        </w:rPr>
        <w:t>（单位：吨金属量）</w:t>
      </w:r>
    </w:p>
    <w:tbl>
      <w:tblPr>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
      <w:tblGrid>
        <w:gridCol w:w="1448"/>
        <w:gridCol w:w="1568"/>
        <w:gridCol w:w="1568"/>
        <w:gridCol w:w="1568"/>
        <w:gridCol w:w="1568"/>
        <w:gridCol w:w="1568"/>
      </w:tblGrid>
      <w:tr>
        <w:trPr>
          <w:trHeight w:val="270" w:hRule="atLeast"/>
          <w:jc w:val="center"/>
        </w:trPr>
        <w:tc>
          <w:tcPr>
            <w:tcW w:w="1448" w:type="dxa"/>
            <w:shd w:val="clear" w:color="auto" w:fill="D9D9D9"/>
            <w:vAlign w:val="center"/>
          </w:tcPr>
          <w:p>
            <w:pPr>
              <w:jc w:val="center"/>
              <w:rPr>
                <w:rFonts w:ascii="Times New Roman" w:hAnsi="Times New Roman" w:cs="Times New Roman"/>
                <w:b/>
                <w:bCs/>
              </w:rPr>
            </w:pPr>
          </w:p>
        </w:tc>
        <w:tc>
          <w:tcPr>
            <w:tcW w:w="1568" w:type="dxa"/>
            <w:shd w:val="clear" w:color="auto" w:fill="D9D9D9"/>
            <w:vAlign w:val="center"/>
          </w:tcPr>
          <w:p>
            <w:pPr>
              <w:jc w:val="center"/>
              <w:rPr>
                <w:rFonts w:ascii="Times New Roman" w:hAnsi="Times New Roman" w:cs="Times New Roman"/>
                <w:b/>
                <w:bCs/>
              </w:rPr>
            </w:pPr>
            <w:r>
              <w:rPr>
                <w:rFonts w:ascii="Times New Roman" w:hAnsi="Times New Roman" w:cs="Times New Roman"/>
                <w:b/>
                <w:bCs/>
              </w:rPr>
              <w:t>2016</w:t>
            </w:r>
          </w:p>
        </w:tc>
        <w:tc>
          <w:tcPr>
            <w:tcW w:w="1568" w:type="dxa"/>
            <w:shd w:val="clear" w:color="auto" w:fill="D9D9D9"/>
            <w:vAlign w:val="center"/>
          </w:tcPr>
          <w:p>
            <w:pPr>
              <w:jc w:val="center"/>
              <w:rPr>
                <w:rFonts w:ascii="Times New Roman" w:hAnsi="Times New Roman" w:cs="Times New Roman"/>
                <w:b/>
                <w:bCs/>
              </w:rPr>
            </w:pPr>
            <w:r>
              <w:rPr>
                <w:rFonts w:ascii="Times New Roman" w:hAnsi="Times New Roman" w:cs="Times New Roman"/>
                <w:b/>
                <w:bCs/>
              </w:rPr>
              <w:t>2017</w:t>
            </w:r>
          </w:p>
        </w:tc>
        <w:tc>
          <w:tcPr>
            <w:tcW w:w="1568" w:type="dxa"/>
            <w:shd w:val="clear" w:color="auto" w:fill="D9D9D9"/>
            <w:vAlign w:val="center"/>
          </w:tcPr>
          <w:p>
            <w:pPr>
              <w:jc w:val="center"/>
              <w:rPr>
                <w:rFonts w:ascii="Times New Roman" w:hAnsi="Times New Roman" w:cs="Times New Roman"/>
                <w:b/>
                <w:bCs/>
              </w:rPr>
            </w:pPr>
            <w:r>
              <w:rPr>
                <w:rFonts w:ascii="Times New Roman" w:hAnsi="Times New Roman" w:cs="Times New Roman"/>
                <w:b/>
                <w:bCs/>
              </w:rPr>
              <w:t>2018</w:t>
            </w:r>
          </w:p>
        </w:tc>
        <w:tc>
          <w:tcPr>
            <w:tcW w:w="1568" w:type="dxa"/>
            <w:shd w:val="clear" w:color="auto" w:fill="D9D9D9"/>
            <w:vAlign w:val="center"/>
          </w:tcPr>
          <w:p>
            <w:pPr>
              <w:jc w:val="center"/>
              <w:rPr>
                <w:rFonts w:ascii="Times New Roman" w:hAnsi="Times New Roman" w:cs="Times New Roman"/>
                <w:b/>
                <w:bCs/>
              </w:rPr>
            </w:pPr>
            <w:r>
              <w:rPr>
                <w:rFonts w:ascii="Times New Roman" w:hAnsi="Times New Roman" w:cs="Times New Roman"/>
                <w:b/>
                <w:bCs/>
              </w:rPr>
              <w:t>2019</w:t>
            </w:r>
          </w:p>
        </w:tc>
        <w:tc>
          <w:tcPr>
            <w:tcW w:w="1568" w:type="dxa"/>
            <w:shd w:val="clear" w:color="auto" w:fill="D9D9D9"/>
            <w:vAlign w:val="center"/>
          </w:tcPr>
          <w:p>
            <w:pPr>
              <w:jc w:val="center"/>
              <w:rPr>
                <w:rFonts w:ascii="Times New Roman" w:hAnsi="Times New Roman" w:cs="Times New Roman"/>
              </w:rPr>
            </w:pPr>
            <w:r>
              <w:rPr>
                <w:rFonts w:ascii="Times New Roman" w:hAnsi="Times New Roman" w:cs="Times New Roman"/>
                <w:b/>
                <w:bCs/>
              </w:rPr>
              <w:t>2020</w:t>
            </w:r>
          </w:p>
        </w:tc>
      </w:tr>
      <w:tr>
        <w:trPr>
          <w:trHeight w:val="270" w:hRule="atLeast"/>
          <w:jc w:val="center"/>
        </w:trPr>
        <w:tc>
          <w:tcPr>
            <w:tcW w:w="1448" w:type="dxa"/>
            <w:vAlign w:val="center"/>
          </w:tcPr>
          <w:p>
            <w:pPr>
              <w:rPr>
                <w:rFonts w:ascii="Times New Roman" w:hAnsi="Times New Roman" w:cs="Times New Roman"/>
              </w:rPr>
            </w:pPr>
            <w:r>
              <w:rPr>
                <w:rFonts w:hint="eastAsia" w:ascii="Times New Roman" w:hAnsi="Times New Roman" w:cs="宋体"/>
              </w:rPr>
              <w:t>供应量</w:t>
            </w:r>
          </w:p>
        </w:tc>
        <w:tc>
          <w:tcPr>
            <w:tcW w:w="1568" w:type="dxa"/>
            <w:vAlign w:val="center"/>
          </w:tcPr>
          <w:p>
            <w:pPr>
              <w:jc w:val="center"/>
              <w:rPr>
                <w:rFonts w:ascii="Times New Roman" w:hAnsi="Times New Roman" w:cs="Times New Roman"/>
              </w:rPr>
            </w:pPr>
            <w:r>
              <w:rPr>
                <w:rFonts w:ascii="Times New Roman" w:hAnsi="Times New Roman" w:eastAsia="等线" w:cs="Times New Roman"/>
                <w:color w:val="000000"/>
              </w:rPr>
              <w:t>86,433</w:t>
            </w:r>
          </w:p>
        </w:tc>
        <w:tc>
          <w:tcPr>
            <w:tcW w:w="1568" w:type="dxa"/>
            <w:vAlign w:val="center"/>
          </w:tcPr>
          <w:p>
            <w:pPr>
              <w:jc w:val="center"/>
              <w:rPr>
                <w:rFonts w:ascii="Times New Roman" w:hAnsi="Times New Roman" w:cs="Times New Roman"/>
              </w:rPr>
            </w:pPr>
            <w:r>
              <w:rPr>
                <w:rFonts w:ascii="Times New Roman" w:hAnsi="Times New Roman" w:eastAsia="等线" w:cs="Times New Roman"/>
                <w:color w:val="000000"/>
              </w:rPr>
              <w:t>86,995</w:t>
            </w:r>
          </w:p>
        </w:tc>
        <w:tc>
          <w:tcPr>
            <w:tcW w:w="1568" w:type="dxa"/>
            <w:vAlign w:val="center"/>
          </w:tcPr>
          <w:p>
            <w:pPr>
              <w:jc w:val="center"/>
              <w:rPr>
                <w:rFonts w:ascii="Times New Roman" w:hAnsi="Times New Roman" w:cs="Times New Roman"/>
              </w:rPr>
            </w:pPr>
            <w:r>
              <w:rPr>
                <w:rFonts w:ascii="Times New Roman" w:hAnsi="Times New Roman" w:eastAsia="等线" w:cs="Times New Roman"/>
                <w:color w:val="000000"/>
              </w:rPr>
              <w:t>88,000</w:t>
            </w:r>
          </w:p>
        </w:tc>
        <w:tc>
          <w:tcPr>
            <w:tcW w:w="1568" w:type="dxa"/>
            <w:vAlign w:val="center"/>
          </w:tcPr>
          <w:p>
            <w:pPr>
              <w:jc w:val="center"/>
              <w:rPr>
                <w:rFonts w:ascii="Times New Roman" w:hAnsi="Times New Roman" w:cs="Times New Roman"/>
              </w:rPr>
            </w:pPr>
            <w:r>
              <w:rPr>
                <w:rFonts w:ascii="Times New Roman" w:hAnsi="Times New Roman" w:eastAsia="等线" w:cs="Times New Roman"/>
                <w:color w:val="000000"/>
              </w:rPr>
              <w:t>87,700</w:t>
            </w:r>
          </w:p>
        </w:tc>
        <w:tc>
          <w:tcPr>
            <w:tcW w:w="1568" w:type="dxa"/>
            <w:vAlign w:val="center"/>
          </w:tcPr>
          <w:p>
            <w:pPr>
              <w:jc w:val="center"/>
              <w:rPr>
                <w:rFonts w:ascii="Times New Roman" w:hAnsi="Times New Roman" w:cs="Times New Roman"/>
              </w:rPr>
            </w:pPr>
            <w:r>
              <w:rPr>
                <w:rFonts w:ascii="Times New Roman" w:hAnsi="Times New Roman" w:eastAsia="等线" w:cs="Times New Roman"/>
                <w:color w:val="000000"/>
              </w:rPr>
              <w:t>88,000</w:t>
            </w:r>
          </w:p>
        </w:tc>
      </w:tr>
      <w:tr>
        <w:trPr>
          <w:trHeight w:val="270" w:hRule="atLeast"/>
          <w:jc w:val="center"/>
        </w:trPr>
        <w:tc>
          <w:tcPr>
            <w:tcW w:w="1448" w:type="dxa"/>
            <w:vAlign w:val="center"/>
          </w:tcPr>
          <w:p>
            <w:pPr>
              <w:rPr>
                <w:rFonts w:ascii="Times New Roman" w:hAnsi="Times New Roman" w:cs="Times New Roman"/>
              </w:rPr>
            </w:pPr>
            <w:r>
              <w:rPr>
                <w:rFonts w:hint="eastAsia" w:ascii="Times New Roman" w:hAnsi="Times New Roman" w:cs="宋体"/>
              </w:rPr>
              <w:t>消费量</w:t>
            </w:r>
          </w:p>
        </w:tc>
        <w:tc>
          <w:tcPr>
            <w:tcW w:w="1568" w:type="dxa"/>
            <w:vAlign w:val="center"/>
          </w:tcPr>
          <w:p>
            <w:pPr>
              <w:jc w:val="center"/>
              <w:rPr>
                <w:rFonts w:ascii="Times New Roman" w:hAnsi="Times New Roman" w:cs="Times New Roman"/>
              </w:rPr>
            </w:pPr>
            <w:r>
              <w:rPr>
                <w:rFonts w:ascii="Times New Roman" w:hAnsi="Times New Roman" w:eastAsia="等线" w:cs="Times New Roman"/>
                <w:color w:val="000000"/>
              </w:rPr>
              <w:t>78,188</w:t>
            </w:r>
          </w:p>
        </w:tc>
        <w:tc>
          <w:tcPr>
            <w:tcW w:w="1568" w:type="dxa"/>
            <w:vAlign w:val="center"/>
          </w:tcPr>
          <w:p>
            <w:pPr>
              <w:jc w:val="center"/>
              <w:rPr>
                <w:rFonts w:ascii="Times New Roman" w:hAnsi="Times New Roman" w:cs="Times New Roman"/>
              </w:rPr>
            </w:pPr>
            <w:r>
              <w:rPr>
                <w:rFonts w:ascii="Times New Roman" w:hAnsi="Times New Roman" w:eastAsia="等线" w:cs="Times New Roman"/>
                <w:color w:val="000000"/>
              </w:rPr>
              <w:t>84,268</w:t>
            </w:r>
          </w:p>
        </w:tc>
        <w:tc>
          <w:tcPr>
            <w:tcW w:w="1568" w:type="dxa"/>
            <w:vAlign w:val="center"/>
          </w:tcPr>
          <w:p>
            <w:pPr>
              <w:jc w:val="center"/>
              <w:rPr>
                <w:rFonts w:ascii="Times New Roman" w:hAnsi="Times New Roman" w:cs="Times New Roman"/>
              </w:rPr>
            </w:pPr>
            <w:r>
              <w:rPr>
                <w:rFonts w:ascii="Times New Roman" w:hAnsi="Times New Roman" w:eastAsia="等线" w:cs="Times New Roman"/>
                <w:color w:val="000000"/>
              </w:rPr>
              <w:t>88,494</w:t>
            </w:r>
          </w:p>
        </w:tc>
        <w:tc>
          <w:tcPr>
            <w:tcW w:w="1568" w:type="dxa"/>
            <w:vAlign w:val="center"/>
          </w:tcPr>
          <w:p>
            <w:pPr>
              <w:jc w:val="center"/>
              <w:rPr>
                <w:rFonts w:ascii="Times New Roman" w:hAnsi="Times New Roman" w:cs="Times New Roman"/>
              </w:rPr>
            </w:pPr>
            <w:r>
              <w:rPr>
                <w:rFonts w:ascii="Times New Roman" w:hAnsi="Times New Roman" w:eastAsia="等线" w:cs="Times New Roman"/>
                <w:color w:val="000000"/>
              </w:rPr>
              <w:t>82,507</w:t>
            </w:r>
          </w:p>
        </w:tc>
        <w:tc>
          <w:tcPr>
            <w:tcW w:w="1568" w:type="dxa"/>
            <w:vAlign w:val="center"/>
          </w:tcPr>
          <w:p>
            <w:pPr>
              <w:jc w:val="center"/>
              <w:rPr>
                <w:rFonts w:ascii="Times New Roman" w:hAnsi="Times New Roman" w:cs="Times New Roman"/>
              </w:rPr>
            </w:pPr>
            <w:r>
              <w:rPr>
                <w:rFonts w:ascii="Times New Roman" w:hAnsi="Times New Roman" w:eastAsia="等线" w:cs="Times New Roman"/>
                <w:color w:val="000000"/>
              </w:rPr>
              <w:t>81,505</w:t>
            </w:r>
          </w:p>
        </w:tc>
      </w:tr>
      <w:tr>
        <w:trPr>
          <w:trHeight w:val="270" w:hRule="atLeast"/>
          <w:jc w:val="center"/>
        </w:trPr>
        <w:tc>
          <w:tcPr>
            <w:tcW w:w="1448" w:type="dxa"/>
            <w:vAlign w:val="center"/>
          </w:tcPr>
          <w:p>
            <w:pPr>
              <w:rPr>
                <w:rFonts w:ascii="Times New Roman" w:hAnsi="Times New Roman" w:cs="Times New Roman"/>
              </w:rPr>
            </w:pPr>
            <w:r>
              <w:rPr>
                <w:rFonts w:hint="eastAsia" w:ascii="Times New Roman" w:hAnsi="Times New Roman" w:cs="宋体"/>
              </w:rPr>
              <w:t>供需平衡</w:t>
            </w:r>
          </w:p>
        </w:tc>
        <w:tc>
          <w:tcPr>
            <w:tcW w:w="1568" w:type="dxa"/>
            <w:vAlign w:val="center"/>
          </w:tcPr>
          <w:p>
            <w:pPr>
              <w:jc w:val="center"/>
              <w:rPr>
                <w:rFonts w:ascii="Times New Roman" w:hAnsi="Times New Roman" w:cs="Times New Roman"/>
              </w:rPr>
            </w:pPr>
            <w:r>
              <w:rPr>
                <w:rFonts w:ascii="Times New Roman" w:hAnsi="Times New Roman" w:eastAsia="等线" w:cs="Times New Roman"/>
                <w:color w:val="000000"/>
              </w:rPr>
              <w:t>8,245</w:t>
            </w:r>
          </w:p>
        </w:tc>
        <w:tc>
          <w:tcPr>
            <w:tcW w:w="1568" w:type="dxa"/>
            <w:vAlign w:val="center"/>
          </w:tcPr>
          <w:p>
            <w:pPr>
              <w:jc w:val="center"/>
              <w:rPr>
                <w:rFonts w:ascii="Times New Roman" w:hAnsi="Times New Roman" w:cs="Times New Roman"/>
              </w:rPr>
            </w:pPr>
            <w:r>
              <w:rPr>
                <w:rFonts w:ascii="Times New Roman" w:hAnsi="Times New Roman" w:eastAsia="等线" w:cs="Times New Roman"/>
                <w:color w:val="000000"/>
              </w:rPr>
              <w:t>2,727</w:t>
            </w:r>
          </w:p>
        </w:tc>
        <w:tc>
          <w:tcPr>
            <w:tcW w:w="1568" w:type="dxa"/>
            <w:vAlign w:val="center"/>
          </w:tcPr>
          <w:p>
            <w:pPr>
              <w:jc w:val="center"/>
              <w:rPr>
                <w:rFonts w:ascii="Times New Roman" w:hAnsi="Times New Roman" w:cs="Times New Roman"/>
              </w:rPr>
            </w:pPr>
            <w:r>
              <w:rPr>
                <w:rFonts w:ascii="Times New Roman" w:hAnsi="Times New Roman" w:eastAsia="等线" w:cs="Times New Roman"/>
                <w:color w:val="000000"/>
              </w:rPr>
              <w:t>-494</w:t>
            </w:r>
          </w:p>
        </w:tc>
        <w:tc>
          <w:tcPr>
            <w:tcW w:w="1568" w:type="dxa"/>
            <w:vAlign w:val="center"/>
          </w:tcPr>
          <w:p>
            <w:pPr>
              <w:jc w:val="center"/>
              <w:rPr>
                <w:rFonts w:ascii="Times New Roman" w:hAnsi="Times New Roman" w:cs="Times New Roman"/>
              </w:rPr>
            </w:pPr>
            <w:r>
              <w:rPr>
                <w:rFonts w:ascii="Times New Roman" w:hAnsi="Times New Roman" w:eastAsia="等线" w:cs="Times New Roman"/>
                <w:color w:val="000000"/>
              </w:rPr>
              <w:t>5,193</w:t>
            </w:r>
          </w:p>
        </w:tc>
        <w:tc>
          <w:tcPr>
            <w:tcW w:w="1568" w:type="dxa"/>
            <w:vAlign w:val="center"/>
          </w:tcPr>
          <w:p>
            <w:pPr>
              <w:jc w:val="center"/>
              <w:rPr>
                <w:rFonts w:ascii="Times New Roman" w:hAnsi="Times New Roman" w:cs="Times New Roman"/>
              </w:rPr>
            </w:pPr>
            <w:r>
              <w:rPr>
                <w:rFonts w:ascii="Times New Roman" w:hAnsi="Times New Roman" w:eastAsia="等线" w:cs="Times New Roman"/>
                <w:color w:val="000000"/>
              </w:rPr>
              <w:t>6,495</w:t>
            </w:r>
          </w:p>
        </w:tc>
      </w:tr>
      <w:tr>
        <w:trPr>
          <w:trHeight w:val="270" w:hRule="atLeast"/>
          <w:jc w:val="center"/>
        </w:trPr>
        <w:tc>
          <w:tcPr>
            <w:tcW w:w="1448" w:type="dxa"/>
            <w:shd w:val="clear" w:color="auto" w:fill="D9D9D9"/>
            <w:vAlign w:val="center"/>
          </w:tcPr>
          <w:p>
            <w:pPr>
              <w:rPr>
                <w:rFonts w:ascii="Times New Roman" w:hAnsi="Times New Roman" w:cs="Times New Roman"/>
                <w:b/>
                <w:bCs/>
              </w:rPr>
            </w:pPr>
          </w:p>
        </w:tc>
        <w:tc>
          <w:tcPr>
            <w:tcW w:w="1568" w:type="dxa"/>
            <w:shd w:val="clear" w:color="auto" w:fill="D9D9D9"/>
            <w:vAlign w:val="center"/>
          </w:tcPr>
          <w:p>
            <w:pPr>
              <w:jc w:val="center"/>
              <w:rPr>
                <w:rFonts w:ascii="Times New Roman" w:hAnsi="Times New Roman" w:cs="Times New Roman"/>
                <w:b/>
                <w:bCs/>
              </w:rPr>
            </w:pPr>
            <w:r>
              <w:rPr>
                <w:rFonts w:ascii="Times New Roman" w:hAnsi="Times New Roman" w:cs="Times New Roman"/>
                <w:b/>
                <w:bCs/>
              </w:rPr>
              <w:t>2021</w:t>
            </w:r>
          </w:p>
        </w:tc>
        <w:tc>
          <w:tcPr>
            <w:tcW w:w="1568" w:type="dxa"/>
            <w:shd w:val="clear" w:color="auto" w:fill="D9D9D9"/>
            <w:vAlign w:val="center"/>
          </w:tcPr>
          <w:p>
            <w:pPr>
              <w:jc w:val="center"/>
              <w:rPr>
                <w:rFonts w:ascii="Times New Roman" w:hAnsi="Times New Roman" w:cs="Times New Roman"/>
                <w:b/>
                <w:bCs/>
              </w:rPr>
            </w:pPr>
            <w:r>
              <w:rPr>
                <w:rFonts w:ascii="Times New Roman" w:hAnsi="Times New Roman" w:cs="Times New Roman"/>
                <w:b/>
                <w:bCs/>
              </w:rPr>
              <w:t>2022</w:t>
            </w:r>
          </w:p>
        </w:tc>
        <w:tc>
          <w:tcPr>
            <w:tcW w:w="1568" w:type="dxa"/>
            <w:shd w:val="clear" w:color="auto" w:fill="D9D9D9"/>
            <w:vAlign w:val="center"/>
          </w:tcPr>
          <w:p>
            <w:pPr>
              <w:jc w:val="center"/>
              <w:rPr>
                <w:rFonts w:ascii="Times New Roman" w:hAnsi="Times New Roman" w:cs="Times New Roman"/>
                <w:b/>
                <w:bCs/>
              </w:rPr>
            </w:pPr>
            <w:r>
              <w:rPr>
                <w:rFonts w:ascii="Times New Roman" w:hAnsi="Times New Roman" w:cs="Times New Roman"/>
                <w:b/>
                <w:bCs/>
              </w:rPr>
              <w:t>2023</w:t>
            </w:r>
          </w:p>
        </w:tc>
        <w:tc>
          <w:tcPr>
            <w:tcW w:w="1568" w:type="dxa"/>
            <w:shd w:val="clear" w:color="auto" w:fill="D9D9D9"/>
            <w:vAlign w:val="center"/>
          </w:tcPr>
          <w:p>
            <w:pPr>
              <w:jc w:val="center"/>
              <w:rPr>
                <w:rFonts w:ascii="Times New Roman" w:hAnsi="Times New Roman" w:cs="Times New Roman"/>
                <w:b/>
                <w:bCs/>
              </w:rPr>
            </w:pPr>
            <w:r>
              <w:rPr>
                <w:rFonts w:ascii="Times New Roman" w:hAnsi="Times New Roman" w:cs="Times New Roman"/>
                <w:b/>
                <w:bCs/>
              </w:rPr>
              <w:t>2024</w:t>
            </w:r>
          </w:p>
        </w:tc>
        <w:tc>
          <w:tcPr>
            <w:tcW w:w="1568" w:type="dxa"/>
            <w:shd w:val="clear" w:color="auto" w:fill="D9D9D9"/>
            <w:vAlign w:val="center"/>
          </w:tcPr>
          <w:p>
            <w:pPr>
              <w:jc w:val="center"/>
              <w:rPr>
                <w:rFonts w:ascii="Times New Roman" w:hAnsi="Times New Roman" w:cs="Times New Roman"/>
                <w:b/>
                <w:bCs/>
              </w:rPr>
            </w:pPr>
            <w:r>
              <w:rPr>
                <w:rFonts w:ascii="Times New Roman" w:hAnsi="Times New Roman" w:cs="Times New Roman"/>
                <w:b/>
                <w:bCs/>
              </w:rPr>
              <w:t>2025</w:t>
            </w:r>
          </w:p>
        </w:tc>
      </w:tr>
      <w:tr>
        <w:trPr>
          <w:trHeight w:val="270" w:hRule="atLeast"/>
          <w:jc w:val="center"/>
        </w:trPr>
        <w:tc>
          <w:tcPr>
            <w:tcW w:w="1448" w:type="dxa"/>
            <w:vAlign w:val="center"/>
          </w:tcPr>
          <w:p>
            <w:pPr>
              <w:rPr>
                <w:rFonts w:ascii="Times New Roman" w:hAnsi="Times New Roman" w:cs="Times New Roman"/>
              </w:rPr>
            </w:pPr>
            <w:r>
              <w:rPr>
                <w:rFonts w:hint="eastAsia" w:ascii="Times New Roman" w:hAnsi="Times New Roman" w:cs="宋体"/>
              </w:rPr>
              <w:t>供应量</w:t>
            </w:r>
          </w:p>
        </w:tc>
        <w:tc>
          <w:tcPr>
            <w:tcW w:w="1568" w:type="dxa"/>
            <w:vAlign w:val="center"/>
          </w:tcPr>
          <w:p>
            <w:pPr>
              <w:jc w:val="center"/>
              <w:rPr>
                <w:rFonts w:ascii="Times New Roman" w:hAnsi="Times New Roman" w:cs="Times New Roman"/>
              </w:rPr>
            </w:pPr>
            <w:r>
              <w:rPr>
                <w:rFonts w:ascii="Times New Roman" w:hAnsi="Times New Roman" w:eastAsia="等线" w:cs="Times New Roman"/>
                <w:color w:val="000000"/>
              </w:rPr>
              <w:t>90,400</w:t>
            </w:r>
          </w:p>
        </w:tc>
        <w:tc>
          <w:tcPr>
            <w:tcW w:w="1568" w:type="dxa"/>
            <w:vAlign w:val="center"/>
          </w:tcPr>
          <w:p>
            <w:pPr>
              <w:jc w:val="center"/>
              <w:rPr>
                <w:rFonts w:ascii="Times New Roman" w:hAnsi="Times New Roman" w:cs="Times New Roman"/>
              </w:rPr>
            </w:pPr>
            <w:r>
              <w:rPr>
                <w:rFonts w:ascii="Times New Roman" w:hAnsi="Times New Roman" w:eastAsia="等线" w:cs="Times New Roman"/>
                <w:color w:val="000000"/>
              </w:rPr>
              <w:t>92,828</w:t>
            </w:r>
          </w:p>
        </w:tc>
        <w:tc>
          <w:tcPr>
            <w:tcW w:w="1568" w:type="dxa"/>
            <w:vAlign w:val="center"/>
          </w:tcPr>
          <w:p>
            <w:pPr>
              <w:jc w:val="center"/>
              <w:rPr>
                <w:rFonts w:ascii="Times New Roman" w:hAnsi="Times New Roman" w:cs="Times New Roman"/>
              </w:rPr>
            </w:pPr>
            <w:r>
              <w:rPr>
                <w:rFonts w:ascii="Times New Roman" w:hAnsi="Times New Roman" w:eastAsia="等线" w:cs="Times New Roman"/>
                <w:color w:val="000000"/>
              </w:rPr>
              <w:t>93,756</w:t>
            </w:r>
          </w:p>
        </w:tc>
        <w:tc>
          <w:tcPr>
            <w:tcW w:w="1568" w:type="dxa"/>
            <w:vAlign w:val="center"/>
          </w:tcPr>
          <w:p>
            <w:pPr>
              <w:jc w:val="center"/>
              <w:rPr>
                <w:rFonts w:ascii="Times New Roman" w:hAnsi="Times New Roman" w:cs="Times New Roman"/>
              </w:rPr>
            </w:pPr>
            <w:r>
              <w:rPr>
                <w:rFonts w:ascii="Times New Roman" w:hAnsi="Times New Roman" w:eastAsia="等线" w:cs="Times New Roman"/>
                <w:color w:val="000000"/>
              </w:rPr>
              <w:t>94,694</w:t>
            </w:r>
          </w:p>
        </w:tc>
        <w:tc>
          <w:tcPr>
            <w:tcW w:w="1568" w:type="dxa"/>
            <w:vAlign w:val="center"/>
          </w:tcPr>
          <w:p>
            <w:pPr>
              <w:jc w:val="center"/>
              <w:rPr>
                <w:rFonts w:ascii="Times New Roman" w:hAnsi="Times New Roman" w:cs="Times New Roman"/>
              </w:rPr>
            </w:pPr>
            <w:r>
              <w:rPr>
                <w:rFonts w:ascii="Times New Roman" w:hAnsi="Times New Roman" w:eastAsia="等线" w:cs="Times New Roman"/>
                <w:color w:val="000000"/>
              </w:rPr>
              <w:t>95,641</w:t>
            </w:r>
          </w:p>
        </w:tc>
      </w:tr>
      <w:tr>
        <w:trPr>
          <w:trHeight w:val="270" w:hRule="atLeast"/>
          <w:jc w:val="center"/>
        </w:trPr>
        <w:tc>
          <w:tcPr>
            <w:tcW w:w="1448" w:type="dxa"/>
            <w:vAlign w:val="center"/>
          </w:tcPr>
          <w:p>
            <w:pPr>
              <w:rPr>
                <w:rFonts w:ascii="Times New Roman" w:hAnsi="Times New Roman" w:cs="Times New Roman"/>
              </w:rPr>
            </w:pPr>
            <w:r>
              <w:rPr>
                <w:rFonts w:hint="eastAsia" w:ascii="Times New Roman" w:hAnsi="Times New Roman" w:cs="宋体"/>
              </w:rPr>
              <w:t>消费量</w:t>
            </w:r>
          </w:p>
        </w:tc>
        <w:tc>
          <w:tcPr>
            <w:tcW w:w="1568" w:type="dxa"/>
            <w:vAlign w:val="center"/>
          </w:tcPr>
          <w:p>
            <w:pPr>
              <w:jc w:val="center"/>
              <w:rPr>
                <w:rFonts w:ascii="Times New Roman" w:hAnsi="Times New Roman" w:cs="Times New Roman"/>
              </w:rPr>
            </w:pPr>
            <w:r>
              <w:rPr>
                <w:rFonts w:ascii="Times New Roman" w:hAnsi="Times New Roman" w:eastAsia="等线" w:cs="Times New Roman"/>
                <w:color w:val="000000"/>
              </w:rPr>
              <w:t>86,811</w:t>
            </w:r>
          </w:p>
        </w:tc>
        <w:tc>
          <w:tcPr>
            <w:tcW w:w="1568" w:type="dxa"/>
            <w:vAlign w:val="center"/>
          </w:tcPr>
          <w:p>
            <w:pPr>
              <w:jc w:val="center"/>
              <w:rPr>
                <w:rFonts w:ascii="Times New Roman" w:hAnsi="Times New Roman" w:cs="Times New Roman"/>
              </w:rPr>
            </w:pPr>
            <w:r>
              <w:rPr>
                <w:rFonts w:ascii="Times New Roman" w:hAnsi="Times New Roman" w:eastAsia="等线" w:cs="Times New Roman"/>
                <w:color w:val="000000"/>
              </w:rPr>
              <w:t>88,732</w:t>
            </w:r>
          </w:p>
        </w:tc>
        <w:tc>
          <w:tcPr>
            <w:tcW w:w="1568" w:type="dxa"/>
            <w:vAlign w:val="center"/>
          </w:tcPr>
          <w:p>
            <w:pPr>
              <w:jc w:val="center"/>
              <w:rPr>
                <w:rFonts w:ascii="Times New Roman" w:hAnsi="Times New Roman" w:cs="Times New Roman"/>
              </w:rPr>
            </w:pPr>
            <w:r>
              <w:rPr>
                <w:rFonts w:ascii="Times New Roman" w:hAnsi="Times New Roman" w:eastAsia="等线" w:cs="Times New Roman"/>
                <w:color w:val="000000"/>
              </w:rPr>
              <w:t>91,367</w:t>
            </w:r>
          </w:p>
        </w:tc>
        <w:tc>
          <w:tcPr>
            <w:tcW w:w="1568" w:type="dxa"/>
            <w:vAlign w:val="center"/>
          </w:tcPr>
          <w:p>
            <w:pPr>
              <w:jc w:val="center"/>
              <w:rPr>
                <w:rFonts w:ascii="Times New Roman" w:hAnsi="Times New Roman" w:cs="Times New Roman"/>
              </w:rPr>
            </w:pPr>
            <w:r>
              <w:rPr>
                <w:rFonts w:ascii="Times New Roman" w:hAnsi="Times New Roman" w:eastAsia="等线" w:cs="Times New Roman"/>
                <w:color w:val="000000"/>
              </w:rPr>
              <w:t>94,080</w:t>
            </w:r>
          </w:p>
        </w:tc>
        <w:tc>
          <w:tcPr>
            <w:tcW w:w="1568" w:type="dxa"/>
            <w:vAlign w:val="center"/>
          </w:tcPr>
          <w:p>
            <w:pPr>
              <w:jc w:val="center"/>
              <w:rPr>
                <w:rFonts w:ascii="Times New Roman" w:hAnsi="Times New Roman" w:cs="Times New Roman"/>
              </w:rPr>
            </w:pPr>
            <w:r>
              <w:rPr>
                <w:rFonts w:ascii="Times New Roman" w:hAnsi="Times New Roman" w:eastAsia="等线" w:cs="Times New Roman"/>
                <w:color w:val="000000"/>
              </w:rPr>
              <w:t>96,872</w:t>
            </w:r>
          </w:p>
        </w:tc>
      </w:tr>
      <w:tr>
        <w:trPr>
          <w:trHeight w:val="270" w:hRule="atLeast"/>
          <w:jc w:val="center"/>
        </w:trPr>
        <w:tc>
          <w:tcPr>
            <w:tcW w:w="1448" w:type="dxa"/>
            <w:vAlign w:val="center"/>
          </w:tcPr>
          <w:p>
            <w:pPr>
              <w:rPr>
                <w:rFonts w:ascii="Times New Roman" w:hAnsi="Times New Roman" w:cs="Times New Roman"/>
              </w:rPr>
            </w:pPr>
            <w:r>
              <w:rPr>
                <w:rFonts w:hint="eastAsia" w:ascii="Times New Roman" w:hAnsi="Times New Roman" w:cs="宋体"/>
              </w:rPr>
              <w:t>供需平衡</w:t>
            </w:r>
          </w:p>
        </w:tc>
        <w:tc>
          <w:tcPr>
            <w:tcW w:w="1568" w:type="dxa"/>
            <w:vAlign w:val="center"/>
          </w:tcPr>
          <w:p>
            <w:pPr>
              <w:jc w:val="center"/>
              <w:rPr>
                <w:rFonts w:ascii="Times New Roman" w:hAnsi="Times New Roman" w:cs="Times New Roman"/>
              </w:rPr>
            </w:pPr>
            <w:r>
              <w:rPr>
                <w:rFonts w:ascii="Times New Roman" w:hAnsi="Times New Roman" w:eastAsia="等线" w:cs="Times New Roman"/>
                <w:color w:val="000000"/>
              </w:rPr>
              <w:t>3,589</w:t>
            </w:r>
          </w:p>
        </w:tc>
        <w:tc>
          <w:tcPr>
            <w:tcW w:w="1568" w:type="dxa"/>
            <w:vAlign w:val="center"/>
          </w:tcPr>
          <w:p>
            <w:pPr>
              <w:jc w:val="center"/>
              <w:rPr>
                <w:rFonts w:ascii="Times New Roman" w:hAnsi="Times New Roman" w:cs="Times New Roman"/>
              </w:rPr>
            </w:pPr>
            <w:r>
              <w:rPr>
                <w:rFonts w:ascii="Times New Roman" w:hAnsi="Times New Roman" w:eastAsia="等线" w:cs="Times New Roman"/>
                <w:color w:val="000000"/>
              </w:rPr>
              <w:t>4,096</w:t>
            </w:r>
          </w:p>
        </w:tc>
        <w:tc>
          <w:tcPr>
            <w:tcW w:w="1568" w:type="dxa"/>
            <w:vAlign w:val="center"/>
          </w:tcPr>
          <w:p>
            <w:pPr>
              <w:jc w:val="center"/>
              <w:rPr>
                <w:rFonts w:ascii="Times New Roman" w:hAnsi="Times New Roman" w:cs="Times New Roman"/>
              </w:rPr>
            </w:pPr>
            <w:r>
              <w:rPr>
                <w:rFonts w:ascii="Times New Roman" w:hAnsi="Times New Roman" w:eastAsia="等线" w:cs="Times New Roman"/>
                <w:color w:val="000000"/>
              </w:rPr>
              <w:t>2,389</w:t>
            </w:r>
          </w:p>
        </w:tc>
        <w:tc>
          <w:tcPr>
            <w:tcW w:w="1568" w:type="dxa"/>
            <w:vAlign w:val="center"/>
          </w:tcPr>
          <w:p>
            <w:pPr>
              <w:jc w:val="center"/>
              <w:rPr>
                <w:rFonts w:ascii="Times New Roman" w:hAnsi="Times New Roman" w:cs="Times New Roman"/>
              </w:rPr>
            </w:pPr>
            <w:r>
              <w:rPr>
                <w:rFonts w:ascii="Times New Roman" w:hAnsi="Times New Roman" w:eastAsia="等线" w:cs="Times New Roman"/>
                <w:color w:val="000000"/>
              </w:rPr>
              <w:t>614</w:t>
            </w:r>
          </w:p>
        </w:tc>
        <w:tc>
          <w:tcPr>
            <w:tcW w:w="1568" w:type="dxa"/>
            <w:vAlign w:val="center"/>
          </w:tcPr>
          <w:p>
            <w:pPr>
              <w:jc w:val="center"/>
              <w:rPr>
                <w:rFonts w:ascii="Times New Roman" w:hAnsi="Times New Roman" w:cs="Times New Roman"/>
              </w:rPr>
            </w:pPr>
            <w:r>
              <w:rPr>
                <w:rFonts w:ascii="Times New Roman" w:hAnsi="Times New Roman" w:eastAsia="等线" w:cs="Times New Roman"/>
                <w:color w:val="000000"/>
              </w:rPr>
              <w:t>-1,231</w:t>
            </w:r>
          </w:p>
        </w:tc>
      </w:tr>
    </w:tbl>
    <w:p>
      <w:pPr>
        <w:spacing w:afterLines="50"/>
        <w:ind w:firstLine="31680" w:firstLineChars="135"/>
        <w:rPr>
          <w:rFonts w:ascii="楷体" w:hAnsi="楷体" w:eastAsia="楷体" w:cs="Times New Roman"/>
        </w:rPr>
      </w:pPr>
      <w:r>
        <w:rPr>
          <w:rFonts w:hint="eastAsia" w:ascii="楷体" w:hAnsi="楷体" w:eastAsia="楷体" w:cs="楷体"/>
        </w:rPr>
        <w:t>数据来源：安泰科</w:t>
      </w:r>
    </w:p>
    <w:p>
      <w:pPr>
        <w:spacing w:line="560" w:lineRule="exact"/>
        <w:ind w:firstLine="31680" w:firstLineChars="196"/>
        <w:rPr>
          <w:rFonts w:ascii="仿宋" w:hAnsi="仿宋" w:eastAsia="仿宋" w:cs="Times New Roman"/>
          <w:sz w:val="28"/>
          <w:szCs w:val="28"/>
        </w:rPr>
      </w:pPr>
      <w:r>
        <w:rPr>
          <w:rFonts w:hint="eastAsia" w:ascii="仿宋" w:hAnsi="仿宋" w:eastAsia="仿宋" w:cs="仿宋"/>
          <w:sz w:val="28"/>
          <w:szCs w:val="28"/>
        </w:rPr>
        <w:t>全球钨供应基本平衡，</w:t>
      </w:r>
      <w:r>
        <w:rPr>
          <w:rFonts w:ascii="仿宋" w:hAnsi="仿宋" w:eastAsia="仿宋" w:cs="仿宋"/>
          <w:sz w:val="28"/>
          <w:szCs w:val="28"/>
        </w:rPr>
        <w:t>2008</w:t>
      </w:r>
      <w:r>
        <w:rPr>
          <w:rFonts w:hint="eastAsia" w:ascii="仿宋" w:hAnsi="仿宋" w:eastAsia="仿宋" w:cs="仿宋"/>
          <w:sz w:val="28"/>
          <w:szCs w:val="28"/>
        </w:rPr>
        <w:t>年金融危机及</w:t>
      </w:r>
      <w:r>
        <w:rPr>
          <w:rFonts w:ascii="仿宋" w:hAnsi="仿宋" w:eastAsia="仿宋" w:cs="仿宋"/>
          <w:sz w:val="28"/>
          <w:szCs w:val="28"/>
        </w:rPr>
        <w:t>2020</w:t>
      </w:r>
      <w:r>
        <w:rPr>
          <w:rFonts w:hint="eastAsia" w:ascii="仿宋" w:hAnsi="仿宋" w:eastAsia="仿宋" w:cs="仿宋"/>
          <w:sz w:val="28"/>
          <w:szCs w:val="28"/>
        </w:rPr>
        <w:t>年的新冠肺炎疫情都将对市场消费产生较大影响，消费明显下降，供应过剩。</w:t>
      </w:r>
    </w:p>
    <w:p>
      <w:pPr>
        <w:pStyle w:val="4"/>
        <w:spacing w:before="240" w:after="120" w:line="415" w:lineRule="auto"/>
        <w:rPr>
          <w:rFonts w:ascii="仿宋" w:hAnsi="仿宋" w:eastAsia="仿宋" w:cs="Times New Roman"/>
          <w:sz w:val="28"/>
          <w:szCs w:val="28"/>
        </w:rPr>
      </w:pPr>
      <w:bookmarkStart w:id="23" w:name="_Toc70684636"/>
      <w:r>
        <w:rPr>
          <w:rFonts w:ascii="仿宋" w:hAnsi="仿宋" w:eastAsia="仿宋" w:cs="仿宋"/>
          <w:sz w:val="28"/>
          <w:szCs w:val="28"/>
        </w:rPr>
        <w:t>2.</w:t>
      </w:r>
      <w:r>
        <w:rPr>
          <w:rFonts w:hint="eastAsia" w:ascii="仿宋" w:hAnsi="仿宋" w:eastAsia="仿宋" w:cs="仿宋"/>
          <w:sz w:val="28"/>
          <w:szCs w:val="28"/>
        </w:rPr>
        <w:t>国内外钨消费结构与趋势</w:t>
      </w:r>
      <w:bookmarkEnd w:id="23"/>
    </w:p>
    <w:p>
      <w:pPr>
        <w:spacing w:line="560" w:lineRule="exact"/>
        <w:ind w:firstLine="31680" w:firstLineChars="196"/>
        <w:rPr>
          <w:rFonts w:ascii="仿宋" w:hAnsi="仿宋" w:eastAsia="仿宋" w:cs="Times New Roman"/>
          <w:sz w:val="28"/>
          <w:szCs w:val="28"/>
        </w:rPr>
      </w:pPr>
      <w:r>
        <w:rPr>
          <w:rFonts w:hint="eastAsia" w:ascii="仿宋" w:hAnsi="仿宋" w:eastAsia="仿宋" w:cs="仿宋"/>
          <w:sz w:val="28"/>
          <w:szCs w:val="28"/>
        </w:rPr>
        <w:t>国内来看，钨主要用于硬质合金、钨钢、钨材和钨化工。</w:t>
      </w:r>
      <w:r>
        <w:rPr>
          <w:rFonts w:ascii="仿宋" w:hAnsi="仿宋" w:eastAsia="仿宋" w:cs="仿宋"/>
          <w:sz w:val="28"/>
          <w:szCs w:val="28"/>
        </w:rPr>
        <w:t>2020</w:t>
      </w:r>
      <w:r>
        <w:rPr>
          <w:rFonts w:hint="eastAsia" w:ascii="仿宋" w:hAnsi="仿宋" w:eastAsia="仿宋" w:cs="仿宋"/>
          <w:sz w:val="28"/>
          <w:szCs w:val="28"/>
        </w:rPr>
        <w:t>年硬质合金占钨消费比例为</w:t>
      </w:r>
      <w:r>
        <w:rPr>
          <w:rFonts w:ascii="仿宋" w:hAnsi="仿宋" w:eastAsia="仿宋" w:cs="仿宋"/>
          <w:sz w:val="28"/>
          <w:szCs w:val="28"/>
        </w:rPr>
        <w:t>55%</w:t>
      </w:r>
      <w:r>
        <w:rPr>
          <w:rFonts w:hint="eastAsia" w:ascii="仿宋" w:hAnsi="仿宋" w:eastAsia="仿宋" w:cs="仿宋"/>
          <w:sz w:val="28"/>
          <w:szCs w:val="28"/>
        </w:rPr>
        <w:t>、钨特钢</w:t>
      </w:r>
      <w:r>
        <w:rPr>
          <w:rFonts w:ascii="仿宋" w:hAnsi="仿宋" w:eastAsia="仿宋" w:cs="仿宋"/>
          <w:sz w:val="28"/>
          <w:szCs w:val="28"/>
        </w:rPr>
        <w:t>19%</w:t>
      </w:r>
      <w:r>
        <w:rPr>
          <w:rFonts w:hint="eastAsia" w:ascii="仿宋" w:hAnsi="仿宋" w:eastAsia="仿宋" w:cs="仿宋"/>
          <w:sz w:val="28"/>
          <w:szCs w:val="28"/>
        </w:rPr>
        <w:t>、钨材</w:t>
      </w:r>
      <w:r>
        <w:rPr>
          <w:rFonts w:ascii="仿宋" w:hAnsi="仿宋" w:eastAsia="仿宋" w:cs="仿宋"/>
          <w:sz w:val="28"/>
          <w:szCs w:val="28"/>
        </w:rPr>
        <w:t>21%</w:t>
      </w:r>
      <w:r>
        <w:rPr>
          <w:rFonts w:hint="eastAsia" w:ascii="仿宋" w:hAnsi="仿宋" w:eastAsia="仿宋" w:cs="仿宋"/>
          <w:sz w:val="28"/>
          <w:szCs w:val="28"/>
        </w:rPr>
        <w:t>、化工</w:t>
      </w:r>
      <w:r>
        <w:rPr>
          <w:rFonts w:ascii="仿宋" w:hAnsi="仿宋" w:eastAsia="仿宋" w:cs="仿宋"/>
          <w:sz w:val="28"/>
          <w:szCs w:val="28"/>
        </w:rPr>
        <w:t>4%</w:t>
      </w:r>
      <w:r>
        <w:rPr>
          <w:rFonts w:hint="eastAsia" w:ascii="仿宋" w:hAnsi="仿宋" w:eastAsia="仿宋" w:cs="仿宋"/>
          <w:sz w:val="28"/>
          <w:szCs w:val="28"/>
        </w:rPr>
        <w:t>。国外钨消费结构大致相同，硬质合金比例更高达</w:t>
      </w:r>
      <w:r>
        <w:rPr>
          <w:rFonts w:ascii="仿宋" w:hAnsi="仿宋" w:eastAsia="仿宋" w:cs="仿宋"/>
          <w:sz w:val="28"/>
          <w:szCs w:val="28"/>
        </w:rPr>
        <w:t>60%</w:t>
      </w:r>
      <w:r>
        <w:rPr>
          <w:rFonts w:hint="eastAsia" w:ascii="仿宋" w:hAnsi="仿宋" w:eastAsia="仿宋" w:cs="仿宋"/>
          <w:sz w:val="28"/>
          <w:szCs w:val="28"/>
        </w:rPr>
        <w:t>。未来发展趋势看，硬质合金和钨材是钨消费的主要方向，特钢方面变化不大。</w:t>
      </w:r>
    </w:p>
    <w:p>
      <w:pPr>
        <w:pStyle w:val="5"/>
        <w:spacing w:before="240" w:after="120" w:line="377" w:lineRule="auto"/>
        <w:rPr>
          <w:rFonts w:ascii="仿宋" w:hAnsi="仿宋" w:eastAsia="仿宋" w:cs="Times New Roman"/>
        </w:rPr>
      </w:pPr>
      <w:r>
        <w:rPr>
          <w:rFonts w:hint="eastAsia" w:ascii="仿宋" w:hAnsi="仿宋" w:eastAsia="仿宋" w:cs="仿宋"/>
        </w:rPr>
        <w:t>（</w:t>
      </w:r>
      <w:r>
        <w:rPr>
          <w:rFonts w:ascii="仿宋" w:hAnsi="仿宋" w:eastAsia="仿宋" w:cs="仿宋"/>
        </w:rPr>
        <w:t>1</w:t>
      </w:r>
      <w:r>
        <w:rPr>
          <w:rFonts w:hint="eastAsia" w:ascii="仿宋" w:hAnsi="仿宋" w:eastAsia="仿宋" w:cs="仿宋"/>
        </w:rPr>
        <w:t>）硬质合金领域</w:t>
      </w:r>
    </w:p>
    <w:p>
      <w:pPr>
        <w:spacing w:line="560" w:lineRule="exact"/>
        <w:ind w:firstLine="31680" w:firstLineChars="196"/>
        <w:rPr>
          <w:rFonts w:ascii="仿宋" w:hAnsi="仿宋" w:eastAsia="仿宋" w:cs="Times New Roman"/>
          <w:sz w:val="28"/>
          <w:szCs w:val="28"/>
        </w:rPr>
      </w:pPr>
      <w:r>
        <w:rPr>
          <w:rFonts w:hint="eastAsia" w:ascii="仿宋" w:hAnsi="仿宋" w:eastAsia="仿宋" w:cs="仿宋"/>
          <w:sz w:val="28"/>
          <w:szCs w:val="28"/>
        </w:rPr>
        <w:t>中国非常重视硬质合金产业发展，先后给予硬质合金生产企业“技术引进”、“技术改造”、“联合攻关”、“技术开发”、“高新技术示范生产线建设”、“国家级新产品”等多种主题和形式的支持。通过自主创新和引进、吸收国外先进技术，我国硬质合金企业生产技术与工艺装备水平向前跨越了一大步，行业创新能力有所增强，大大缩短了与国际先进水平的差距。目前硬质合金产品结构的变化在向着合理的方向发展。尤其是深加工产品和硬质合金工具产品。技术含量高、经济效益好的，如高性能精密数控涂层刀片，可转位刀片、大制品、高档矿用球齿和盾构齿等出现较大幅度的增长，特别是一些代表硬质合金生产技术水平的产品发展很快。</w:t>
      </w:r>
    </w:p>
    <w:p>
      <w:pPr>
        <w:spacing w:line="560" w:lineRule="exact"/>
        <w:ind w:firstLine="31680" w:firstLineChars="196"/>
        <w:rPr>
          <w:rFonts w:cs="Times New Roman"/>
          <w:sz w:val="24"/>
          <w:szCs w:val="24"/>
          <w:u w:val="single"/>
        </w:rPr>
      </w:pPr>
      <w:r>
        <w:rPr>
          <w:rFonts w:hint="eastAsia" w:ascii="华文仿宋" w:hAnsi="华文仿宋" w:eastAsia="华文仿宋" w:cs="华文仿宋"/>
          <w:sz w:val="28"/>
          <w:szCs w:val="28"/>
        </w:rPr>
        <w:t>硬质合金是装备制造业、高新技术产业及战略性新兴产业发展的基础和先导，高性能硬质合金广泛用于机械加工、数控机床、航空航天、电子信息、石油化工、汽车、军工等现代制造领域，特别是随着近年来国内战略性新兴产业的发展及中国世界制造中心地位的确立，各种特殊钢材、特殊难加工材料、高密度复合材料的出现，各种高性能、高寿命、高可靠性和专用化高端刀具的需求量迅猛增长，目前全球高性能刀具的市场容量约为</w:t>
      </w:r>
      <w:r>
        <w:rPr>
          <w:rFonts w:ascii="华文仿宋" w:hAnsi="华文仿宋" w:eastAsia="华文仿宋" w:cs="华文仿宋"/>
          <w:sz w:val="28"/>
          <w:szCs w:val="28"/>
        </w:rPr>
        <w:t>180</w:t>
      </w:r>
      <w:r>
        <w:rPr>
          <w:rFonts w:hint="eastAsia" w:ascii="华文仿宋" w:hAnsi="华文仿宋" w:eastAsia="华文仿宋" w:cs="华文仿宋"/>
          <w:sz w:val="28"/>
          <w:szCs w:val="28"/>
        </w:rPr>
        <w:t>亿美元，市场的潜力和开发价值十分巨大。</w:t>
      </w:r>
    </w:p>
    <w:p>
      <w:pPr>
        <w:pStyle w:val="5"/>
        <w:spacing w:before="240" w:after="120" w:line="377" w:lineRule="auto"/>
        <w:rPr>
          <w:rFonts w:ascii="仿宋" w:hAnsi="仿宋" w:eastAsia="仿宋" w:cs="Times New Roman"/>
        </w:rPr>
      </w:pPr>
      <w:r>
        <w:rPr>
          <w:rFonts w:hint="eastAsia" w:ascii="仿宋" w:hAnsi="仿宋" w:eastAsia="仿宋" w:cs="仿宋"/>
        </w:rPr>
        <w:t>（</w:t>
      </w:r>
      <w:r>
        <w:rPr>
          <w:rFonts w:ascii="仿宋" w:hAnsi="仿宋" w:eastAsia="仿宋" w:cs="仿宋"/>
        </w:rPr>
        <w:t>2</w:t>
      </w:r>
      <w:r>
        <w:rPr>
          <w:rFonts w:hint="eastAsia" w:ascii="仿宋" w:hAnsi="仿宋" w:eastAsia="仿宋" w:cs="仿宋"/>
        </w:rPr>
        <w:t>）钨材领域：</w:t>
      </w:r>
    </w:p>
    <w:p>
      <w:pPr>
        <w:spacing w:line="560" w:lineRule="exact"/>
        <w:ind w:firstLine="31680" w:firstLineChars="196"/>
        <w:rPr>
          <w:rFonts w:ascii="仿宋" w:hAnsi="仿宋" w:eastAsia="仿宋" w:cs="Times New Roman"/>
          <w:sz w:val="28"/>
          <w:szCs w:val="28"/>
        </w:rPr>
      </w:pPr>
      <w:r>
        <w:rPr>
          <w:rFonts w:hint="eastAsia" w:ascii="仿宋" w:hAnsi="仿宋" w:eastAsia="仿宋" w:cs="仿宋"/>
          <w:sz w:val="28"/>
          <w:szCs w:val="28"/>
        </w:rPr>
        <w:t>金属钨因具有良好的高温强度和耐腐蚀性等优点被广泛应用于航空、航天、电子、核工业、汽车、半导体照明、机械加工、高温设备、稀土冶炼、放射性医疗、薄膜技术、有色金属加工模具等领域，在国民经济中有着至关重要的作用。钨及钨合金制品已经渗透到国民经济建设和社会生活</w:t>
      </w:r>
      <w:r>
        <w:rPr>
          <w:rFonts w:ascii="仿宋" w:hAnsi="仿宋" w:eastAsia="仿宋" w:cs="仿宋"/>
          <w:sz w:val="28"/>
          <w:szCs w:val="28"/>
        </w:rPr>
        <w:t xml:space="preserve"> </w:t>
      </w:r>
      <w:r>
        <w:rPr>
          <w:rFonts w:hint="eastAsia" w:ascii="仿宋" w:hAnsi="仿宋" w:eastAsia="仿宋" w:cs="仿宋"/>
          <w:sz w:val="28"/>
          <w:szCs w:val="28"/>
        </w:rPr>
        <w:t>的各个领域，支撑着一大批高新技术产业的发展，同时它对传统行业的更新换代也起着推波助澜的作用。</w:t>
      </w:r>
    </w:p>
    <w:p>
      <w:pPr>
        <w:spacing w:line="560" w:lineRule="exact"/>
        <w:ind w:firstLine="31680" w:firstLineChars="196"/>
        <w:rPr>
          <w:rFonts w:ascii="仿宋" w:hAnsi="仿宋" w:eastAsia="仿宋" w:cs="Times New Roman"/>
          <w:sz w:val="28"/>
          <w:szCs w:val="28"/>
        </w:rPr>
      </w:pPr>
      <w:r>
        <w:rPr>
          <w:rFonts w:hint="eastAsia" w:ascii="仿宋" w:hAnsi="仿宋" w:eastAsia="仿宋" w:cs="仿宋"/>
          <w:sz w:val="28"/>
          <w:szCs w:val="28"/>
        </w:rPr>
        <w:t>钨材终端能够用主要有以下几个方面：</w:t>
      </w:r>
    </w:p>
    <w:p>
      <w:pPr>
        <w:spacing w:line="560" w:lineRule="exact"/>
        <w:rPr>
          <w:rFonts w:ascii="仿宋" w:hAnsi="仿宋" w:eastAsia="仿宋" w:cs="Times New Roman"/>
          <w:b/>
          <w:bCs/>
          <w:sz w:val="28"/>
          <w:szCs w:val="28"/>
        </w:rPr>
      </w:pPr>
      <w:r>
        <w:rPr>
          <w:rFonts w:ascii="仿宋" w:hAnsi="仿宋" w:eastAsia="仿宋" w:cs="仿宋"/>
          <w:b/>
          <w:bCs/>
          <w:sz w:val="28"/>
          <w:szCs w:val="28"/>
        </w:rPr>
        <w:t>——</w:t>
      </w:r>
      <w:r>
        <w:rPr>
          <w:rFonts w:hint="eastAsia" w:ascii="仿宋" w:hAnsi="仿宋" w:eastAsia="仿宋" w:cs="仿宋"/>
          <w:b/>
          <w:bCs/>
          <w:sz w:val="28"/>
          <w:szCs w:val="28"/>
        </w:rPr>
        <w:t>高比重合金</w:t>
      </w:r>
    </w:p>
    <w:p>
      <w:pPr>
        <w:spacing w:line="560" w:lineRule="exact"/>
        <w:ind w:firstLine="31680" w:firstLineChars="196"/>
        <w:rPr>
          <w:rFonts w:ascii="仿宋" w:hAnsi="仿宋" w:eastAsia="仿宋" w:cs="Times New Roman"/>
          <w:sz w:val="28"/>
          <w:szCs w:val="28"/>
        </w:rPr>
      </w:pPr>
      <w:r>
        <w:rPr>
          <w:rFonts w:hint="eastAsia" w:ascii="仿宋" w:hAnsi="仿宋" w:eastAsia="仿宋" w:cs="仿宋"/>
          <w:sz w:val="28"/>
          <w:szCs w:val="28"/>
        </w:rPr>
        <w:t>钨基高比重合金具有密度高且均匀，吸收高能射线能力强，优良的强度和塑性、韧性等综合性能，目前广泛应用在航空航天，兵器，汽车，医疗等领域。</w:t>
      </w:r>
    </w:p>
    <w:p>
      <w:pPr>
        <w:spacing w:line="560" w:lineRule="exact"/>
        <w:rPr>
          <w:rFonts w:ascii="仿宋" w:hAnsi="仿宋" w:eastAsia="仿宋" w:cs="Times New Roman"/>
          <w:sz w:val="28"/>
          <w:szCs w:val="28"/>
        </w:rPr>
      </w:pPr>
      <w:r>
        <w:rPr>
          <w:rFonts w:ascii="仿宋" w:hAnsi="仿宋" w:eastAsia="仿宋" w:cs="仿宋"/>
          <w:sz w:val="28"/>
          <w:szCs w:val="28"/>
        </w:rPr>
        <w:t xml:space="preserve">    </w:t>
      </w:r>
      <w:r>
        <w:rPr>
          <w:rFonts w:hint="eastAsia" w:ascii="仿宋" w:hAnsi="仿宋" w:eastAsia="仿宋" w:cs="仿宋"/>
          <w:sz w:val="28"/>
          <w:szCs w:val="28"/>
        </w:rPr>
        <w:t>航空航天钨基合金市场潜力较大，钨基合金用于制造攻击各类装甲目标的穿、破甲关键部件，人造卫星、飞机等飞行器的陀螺仪惯性元件，火箭、导弹的燃烧室、喷管、喉衬及方向舵等高温抗烧蚀部件，核反应堆隔热和防辐射的屏蔽材料等，都具有不可替代的地位和作用。因此，未来高新技术武器装备制造、尖端科学技术的进步以及核能源的快速发展等，迫切需要高性能的钨基合金材料。近年我国国防预算连年保持两位数增长，预期未来我国国防预算也将保持较高的增长速度。相关资料显示，美国军工用钨的需求占比更是达到了</w:t>
      </w:r>
      <w:r>
        <w:rPr>
          <w:rFonts w:ascii="仿宋" w:hAnsi="仿宋" w:eastAsia="仿宋" w:cs="仿宋"/>
          <w:sz w:val="28"/>
          <w:szCs w:val="28"/>
        </w:rPr>
        <w:t>20%</w:t>
      </w:r>
      <w:r>
        <w:rPr>
          <w:rFonts w:hint="eastAsia" w:ascii="仿宋" w:hAnsi="仿宋" w:eastAsia="仿宋" w:cs="仿宋"/>
          <w:sz w:val="28"/>
          <w:szCs w:val="28"/>
        </w:rPr>
        <w:t>，而我国钨的军工需求占钨需求量的比例为</w:t>
      </w:r>
      <w:r>
        <w:rPr>
          <w:rFonts w:ascii="仿宋" w:hAnsi="仿宋" w:eastAsia="仿宋" w:cs="仿宋"/>
          <w:sz w:val="28"/>
          <w:szCs w:val="28"/>
        </w:rPr>
        <w:t>11%</w:t>
      </w:r>
      <w:r>
        <w:rPr>
          <w:rFonts w:hint="eastAsia" w:ascii="仿宋" w:hAnsi="仿宋" w:eastAsia="仿宋" w:cs="仿宋"/>
          <w:sz w:val="28"/>
          <w:szCs w:val="28"/>
        </w:rPr>
        <w:t>，未来我国高新技术武器装备制造所需的军工钨基合金材料的需求具有巨大潜力。</w:t>
      </w:r>
    </w:p>
    <w:p>
      <w:pPr>
        <w:spacing w:line="560" w:lineRule="exact"/>
        <w:rPr>
          <w:rFonts w:ascii="仿宋" w:hAnsi="仿宋" w:eastAsia="仿宋" w:cs="Times New Roman"/>
          <w:sz w:val="28"/>
          <w:szCs w:val="28"/>
        </w:rPr>
      </w:pPr>
      <w:r>
        <w:rPr>
          <w:rFonts w:ascii="仿宋" w:hAnsi="仿宋" w:eastAsia="仿宋" w:cs="仿宋"/>
          <w:sz w:val="28"/>
          <w:szCs w:val="28"/>
        </w:rPr>
        <w:t xml:space="preserve">    </w:t>
      </w:r>
      <w:r>
        <w:rPr>
          <w:rFonts w:hint="eastAsia" w:ascii="仿宋" w:hAnsi="仿宋" w:eastAsia="仿宋" w:cs="仿宋"/>
          <w:sz w:val="28"/>
          <w:szCs w:val="28"/>
        </w:rPr>
        <w:t>在医疗行业广泛应用的</w:t>
      </w:r>
      <w:r>
        <w:rPr>
          <w:rFonts w:ascii="仿宋" w:hAnsi="仿宋" w:eastAsia="仿宋" w:cs="仿宋"/>
          <w:sz w:val="28"/>
          <w:szCs w:val="28"/>
        </w:rPr>
        <w:t>PET</w:t>
      </w:r>
      <w:r>
        <w:rPr>
          <w:rFonts w:hint="eastAsia" w:ascii="仿宋" w:hAnsi="仿宋" w:eastAsia="仿宋" w:cs="仿宋"/>
          <w:sz w:val="28"/>
          <w:szCs w:val="28"/>
        </w:rPr>
        <w:t>、</w:t>
      </w:r>
      <w:r>
        <w:rPr>
          <w:rFonts w:ascii="仿宋" w:hAnsi="仿宋" w:eastAsia="仿宋" w:cs="仿宋"/>
          <w:sz w:val="28"/>
          <w:szCs w:val="28"/>
        </w:rPr>
        <w:t>CT</w:t>
      </w:r>
      <w:r>
        <w:rPr>
          <w:rFonts w:hint="eastAsia" w:ascii="仿宋" w:hAnsi="仿宋" w:eastAsia="仿宋" w:cs="仿宋"/>
          <w:sz w:val="28"/>
          <w:szCs w:val="28"/>
        </w:rPr>
        <w:t>、</w:t>
      </w:r>
      <w:r>
        <w:rPr>
          <w:rFonts w:ascii="仿宋" w:hAnsi="仿宋" w:eastAsia="仿宋" w:cs="仿宋"/>
          <w:sz w:val="28"/>
          <w:szCs w:val="28"/>
        </w:rPr>
        <w:t>PET-CT</w:t>
      </w:r>
      <w:r>
        <w:rPr>
          <w:rFonts w:hint="eastAsia" w:ascii="仿宋" w:hAnsi="仿宋" w:eastAsia="仿宋" w:cs="仿宋"/>
          <w:sz w:val="28"/>
          <w:szCs w:val="28"/>
        </w:rPr>
        <w:t>等高端医学治疗及影像诊断设备的叶片屏蔽件和准直件。该部分市场需求与医用整机市场需求密切相关。随着现代社会癌症发病率的增加，高端医学治疗及影像诊断设备需求量和维修服务需求量（更换）将持续稳定增长，国家在医学图像的扶持力度远超以往。在国家相关政策的指引下，数字化影像医疗受到了前所未有的高度关注与扶持。伴随着人们对慢性疾病的预防重视不断加强，全球影像诊断设备市场规模也随之不断扩大，数据开始极速增长。我国医疗器械市场规模维持高速增长，已经成为继美日两国之后的世界第三大市场。其中，医学影像诊断设备在我国医疗器械细分市场中规模最大，占据近四成。</w:t>
      </w:r>
    </w:p>
    <w:p>
      <w:pPr>
        <w:spacing w:line="560" w:lineRule="exact"/>
        <w:rPr>
          <w:rFonts w:ascii="仿宋" w:hAnsi="仿宋" w:eastAsia="仿宋" w:cs="Times New Roman"/>
          <w:b/>
          <w:bCs/>
          <w:sz w:val="28"/>
          <w:szCs w:val="28"/>
        </w:rPr>
      </w:pPr>
      <w:r>
        <w:rPr>
          <w:rFonts w:ascii="仿宋" w:hAnsi="仿宋" w:eastAsia="仿宋" w:cs="仿宋"/>
          <w:b/>
          <w:bCs/>
          <w:sz w:val="28"/>
          <w:szCs w:val="28"/>
        </w:rPr>
        <w:t>——</w:t>
      </w:r>
      <w:r>
        <w:rPr>
          <w:rFonts w:hint="eastAsia" w:ascii="仿宋" w:hAnsi="仿宋" w:eastAsia="仿宋" w:cs="仿宋"/>
          <w:b/>
          <w:bCs/>
          <w:sz w:val="28"/>
          <w:szCs w:val="28"/>
        </w:rPr>
        <w:t>核反应堆用高端钨钼部件具有较大潜力</w:t>
      </w:r>
    </w:p>
    <w:p>
      <w:pPr>
        <w:spacing w:line="560" w:lineRule="exact"/>
        <w:ind w:firstLine="31680" w:firstLineChars="200"/>
        <w:rPr>
          <w:rFonts w:ascii="仿宋" w:hAnsi="仿宋" w:eastAsia="仿宋" w:cs="Times New Roman"/>
          <w:sz w:val="28"/>
          <w:szCs w:val="28"/>
        </w:rPr>
      </w:pPr>
      <w:r>
        <w:rPr>
          <w:rFonts w:hint="eastAsia" w:ascii="仿宋" w:hAnsi="仿宋" w:eastAsia="仿宋" w:cs="仿宋"/>
          <w:sz w:val="28"/>
          <w:szCs w:val="28"/>
        </w:rPr>
        <w:t>核电作为优质清洁能源，是增加能源供应，优化能源结构，应对能源枯竭，气候变化等最重要的选择之一。我国是世界上少数几个拥有完整核工业体系的国家之一，随着核能利用技术越来越成熟，积极推进核电建设，是我国能源建设的一项重要政策。国家十三五规划</w:t>
      </w:r>
      <w:r>
        <w:rPr>
          <w:rFonts w:ascii="仿宋" w:hAnsi="仿宋" w:eastAsia="仿宋" w:cs="仿宋"/>
          <w:sz w:val="28"/>
          <w:szCs w:val="28"/>
        </w:rPr>
        <w:t>2020</w:t>
      </w:r>
      <w:r>
        <w:rPr>
          <w:rFonts w:hint="eastAsia" w:ascii="仿宋" w:hAnsi="仿宋" w:eastAsia="仿宋" w:cs="仿宋"/>
          <w:sz w:val="28"/>
          <w:szCs w:val="28"/>
        </w:rPr>
        <w:t>年核电装机容量达到</w:t>
      </w:r>
      <w:r>
        <w:rPr>
          <w:rFonts w:ascii="仿宋" w:hAnsi="仿宋" w:eastAsia="仿宋" w:cs="仿宋"/>
          <w:sz w:val="28"/>
          <w:szCs w:val="28"/>
        </w:rPr>
        <w:t>4000</w:t>
      </w:r>
      <w:r>
        <w:rPr>
          <w:rFonts w:hint="eastAsia" w:ascii="仿宋" w:hAnsi="仿宋" w:eastAsia="仿宋" w:cs="仿宋"/>
          <w:sz w:val="28"/>
          <w:szCs w:val="28"/>
        </w:rPr>
        <w:t>万千瓦，未来</w:t>
      </w:r>
      <w:r>
        <w:rPr>
          <w:rFonts w:ascii="仿宋" w:hAnsi="仿宋" w:eastAsia="仿宋" w:cs="仿宋"/>
          <w:sz w:val="28"/>
          <w:szCs w:val="28"/>
        </w:rPr>
        <w:t>10</w:t>
      </w:r>
      <w:r>
        <w:rPr>
          <w:rFonts w:hint="eastAsia" w:ascii="仿宋" w:hAnsi="仿宋" w:eastAsia="仿宋" w:cs="仿宋"/>
          <w:sz w:val="28"/>
          <w:szCs w:val="28"/>
        </w:rPr>
        <w:t>年内，中国计划新增</w:t>
      </w:r>
      <w:r>
        <w:rPr>
          <w:rFonts w:ascii="仿宋" w:hAnsi="仿宋" w:eastAsia="仿宋" w:cs="仿宋"/>
          <w:sz w:val="28"/>
          <w:szCs w:val="28"/>
        </w:rPr>
        <w:t>60</w:t>
      </w:r>
      <w:r>
        <w:rPr>
          <w:rFonts w:hint="eastAsia" w:ascii="仿宋" w:hAnsi="仿宋" w:eastAsia="仿宋" w:cs="仿宋"/>
          <w:sz w:val="28"/>
          <w:szCs w:val="28"/>
        </w:rPr>
        <w:t>座核电厂。相关核电站配套以及相关废料处理需求钨及合金需求量超过</w:t>
      </w:r>
      <w:r>
        <w:rPr>
          <w:rFonts w:ascii="仿宋" w:hAnsi="仿宋" w:eastAsia="仿宋" w:cs="仿宋"/>
          <w:sz w:val="28"/>
          <w:szCs w:val="28"/>
        </w:rPr>
        <w:t>100</w:t>
      </w:r>
      <w:r>
        <w:rPr>
          <w:rFonts w:hint="eastAsia" w:ascii="仿宋" w:hAnsi="仿宋" w:eastAsia="仿宋" w:cs="仿宋"/>
          <w:sz w:val="28"/>
          <w:szCs w:val="28"/>
        </w:rPr>
        <w:t>吨。此外，全世界已有</w:t>
      </w:r>
      <w:r>
        <w:rPr>
          <w:rFonts w:ascii="仿宋" w:hAnsi="仿宋" w:eastAsia="仿宋" w:cs="仿宋"/>
          <w:sz w:val="28"/>
          <w:szCs w:val="28"/>
        </w:rPr>
        <w:t>30</w:t>
      </w:r>
      <w:r>
        <w:rPr>
          <w:rFonts w:hint="eastAsia" w:ascii="仿宋" w:hAnsi="仿宋" w:eastAsia="仿宋" w:cs="仿宋"/>
          <w:sz w:val="28"/>
          <w:szCs w:val="28"/>
        </w:rPr>
        <w:t>多个国家及地区开展了核聚变研究，运行的核聚变实验装置至少有几十个。除目前</w:t>
      </w:r>
      <w:r>
        <w:rPr>
          <w:rFonts w:ascii="仿宋" w:hAnsi="仿宋" w:eastAsia="仿宋" w:cs="仿宋"/>
          <w:sz w:val="28"/>
          <w:szCs w:val="28"/>
        </w:rPr>
        <w:t>ITER</w:t>
      </w:r>
      <w:r>
        <w:rPr>
          <w:rFonts w:hint="eastAsia" w:ascii="仿宋" w:hAnsi="仿宋" w:eastAsia="仿宋" w:cs="仿宋"/>
          <w:sz w:val="28"/>
          <w:szCs w:val="28"/>
        </w:rPr>
        <w:t>外，世界上已经建起了多个核聚变实验堆。由于</w:t>
      </w:r>
      <w:r>
        <w:rPr>
          <w:rFonts w:ascii="仿宋" w:hAnsi="仿宋" w:eastAsia="仿宋" w:cs="仿宋"/>
          <w:sz w:val="28"/>
          <w:szCs w:val="28"/>
        </w:rPr>
        <w:t>ITER</w:t>
      </w:r>
      <w:r>
        <w:rPr>
          <w:rFonts w:hint="eastAsia" w:ascii="仿宋" w:hAnsi="仿宋" w:eastAsia="仿宋" w:cs="仿宋"/>
          <w:sz w:val="28"/>
          <w:szCs w:val="28"/>
        </w:rPr>
        <w:t>已经确定使用全钨偏滤器，所以日本、俄罗斯、法国、中国等几个大型核聚变实验装置已经开始购置并更换钨和钨铜复合材料作为偏滤器材料。聚变反应堆体积较大，所以更换一次</w:t>
      </w:r>
      <w:r>
        <w:rPr>
          <w:rFonts w:ascii="仿宋" w:hAnsi="仿宋" w:eastAsia="仿宋" w:cs="仿宋"/>
          <w:sz w:val="28"/>
          <w:szCs w:val="28"/>
        </w:rPr>
        <w:t>PFM</w:t>
      </w:r>
      <w:r>
        <w:rPr>
          <w:rFonts w:hint="eastAsia" w:ascii="仿宋" w:hAnsi="仿宋" w:eastAsia="仿宋" w:cs="仿宋"/>
          <w:sz w:val="28"/>
          <w:szCs w:val="28"/>
        </w:rPr>
        <w:t>将需要大量的材料。以</w:t>
      </w:r>
      <w:r>
        <w:rPr>
          <w:rFonts w:ascii="仿宋" w:hAnsi="仿宋" w:eastAsia="仿宋" w:cs="仿宋"/>
          <w:sz w:val="28"/>
          <w:szCs w:val="28"/>
        </w:rPr>
        <w:t>ITER</w:t>
      </w:r>
      <w:r>
        <w:rPr>
          <w:rFonts w:hint="eastAsia" w:ascii="仿宋" w:hAnsi="仿宋" w:eastAsia="仿宋" w:cs="仿宋"/>
          <w:sz w:val="28"/>
          <w:szCs w:val="28"/>
        </w:rPr>
        <w:t>为例，仅偏滤器，全部更换一次将需要</w:t>
      </w:r>
      <w:r>
        <w:rPr>
          <w:rFonts w:ascii="仿宋" w:hAnsi="仿宋" w:eastAsia="仿宋" w:cs="仿宋"/>
          <w:sz w:val="28"/>
          <w:szCs w:val="28"/>
        </w:rPr>
        <w:t>18</w:t>
      </w:r>
      <w:r>
        <w:rPr>
          <w:rFonts w:hint="eastAsia" w:ascii="仿宋" w:hAnsi="仿宋" w:eastAsia="仿宋" w:cs="仿宋"/>
          <w:sz w:val="28"/>
          <w:szCs w:val="28"/>
        </w:rPr>
        <w:t>吨左右的高端钨材（不含铜）。虽然现在仍处于试验阶段，还未能最终确定钨就是未来核聚变发电站中的面向等离子体材料，但是仅试验阶段，各国核聚变装置对钨的需求量已然巨大。</w:t>
      </w:r>
    </w:p>
    <w:p>
      <w:pPr>
        <w:spacing w:line="560" w:lineRule="exact"/>
        <w:rPr>
          <w:rFonts w:ascii="仿宋" w:hAnsi="仿宋" w:eastAsia="仿宋" w:cs="Times New Roman"/>
          <w:b/>
          <w:bCs/>
          <w:sz w:val="28"/>
          <w:szCs w:val="28"/>
        </w:rPr>
      </w:pPr>
      <w:r>
        <w:rPr>
          <w:rFonts w:ascii="仿宋" w:hAnsi="仿宋" w:eastAsia="仿宋" w:cs="仿宋"/>
          <w:b/>
          <w:bCs/>
          <w:sz w:val="28"/>
          <w:szCs w:val="28"/>
        </w:rPr>
        <w:t>——</w:t>
      </w:r>
      <w:r>
        <w:rPr>
          <w:rFonts w:hint="eastAsia" w:ascii="仿宋" w:hAnsi="仿宋" w:eastAsia="仿宋" w:cs="仿宋"/>
          <w:b/>
          <w:bCs/>
          <w:sz w:val="28"/>
          <w:szCs w:val="28"/>
        </w:rPr>
        <w:t>钨电极</w:t>
      </w:r>
    </w:p>
    <w:p>
      <w:pPr>
        <w:spacing w:line="560" w:lineRule="exact"/>
        <w:ind w:firstLine="31680" w:firstLineChars="200"/>
        <w:rPr>
          <w:rFonts w:ascii="仿宋" w:hAnsi="仿宋" w:eastAsia="仿宋" w:cs="Times New Roman"/>
          <w:sz w:val="28"/>
          <w:szCs w:val="28"/>
        </w:rPr>
      </w:pPr>
      <w:r>
        <w:rPr>
          <w:rFonts w:hint="eastAsia" w:ascii="仿宋" w:hAnsi="仿宋" w:eastAsia="仿宋" w:cs="仿宋"/>
          <w:sz w:val="28"/>
          <w:szCs w:val="28"/>
        </w:rPr>
        <w:t>全球钨电极及加热体的年市场需求相对稳定。铈钨电极、镧钨电极、钇钨电极、锆钨电极和多元复合钨电极等钨电极具有优异的电子发射性能和高温耐烧蚀性能，主要用于不锈钢、有色金属和压力容器的氩弧焊高端焊接。近年来由于不锈钢和钛镁铝铜等有色金属产量的稳定增长，对其进行焊接加工所必需的高性能氩弧焊钨电极的需求也稳定增长，全球钨电极的年市场需求量超过</w:t>
      </w:r>
      <w:r>
        <w:rPr>
          <w:rFonts w:ascii="仿宋" w:hAnsi="仿宋" w:eastAsia="仿宋" w:cs="仿宋"/>
          <w:sz w:val="28"/>
          <w:szCs w:val="28"/>
        </w:rPr>
        <w:t>1,500</w:t>
      </w:r>
      <w:r>
        <w:rPr>
          <w:rFonts w:hint="eastAsia" w:ascii="仿宋" w:hAnsi="仿宋" w:eastAsia="仿宋" w:cs="仿宋"/>
          <w:sz w:val="28"/>
          <w:szCs w:val="28"/>
        </w:rPr>
        <w:t>吨，且每年以</w:t>
      </w:r>
      <w:r>
        <w:rPr>
          <w:rFonts w:ascii="仿宋" w:hAnsi="仿宋" w:eastAsia="仿宋" w:cs="仿宋"/>
          <w:sz w:val="28"/>
          <w:szCs w:val="28"/>
        </w:rPr>
        <w:t>5%</w:t>
      </w:r>
      <w:r>
        <w:rPr>
          <w:rFonts w:hint="eastAsia" w:ascii="仿宋" w:hAnsi="仿宋" w:eastAsia="仿宋" w:cs="仿宋"/>
          <w:sz w:val="28"/>
          <w:szCs w:val="28"/>
        </w:rPr>
        <w:t>以上的速度在增长。由于稀土金属、玻璃、玻纤、耐火纤维工业的持续发展，其熔炼所用的钨棒状电极的市场需求量越来越大；金卤灯、氙灯等新型光源的迅速发展，其所使用的钨阳极和钨阴极的需求量也在逐年增长。</w:t>
      </w:r>
    </w:p>
    <w:p>
      <w:pPr>
        <w:pStyle w:val="4"/>
        <w:spacing w:before="240" w:after="120" w:line="415" w:lineRule="auto"/>
        <w:rPr>
          <w:rFonts w:ascii="仿宋" w:hAnsi="仿宋" w:eastAsia="仿宋" w:cs="Times New Roman"/>
          <w:sz w:val="28"/>
          <w:szCs w:val="28"/>
        </w:rPr>
      </w:pPr>
      <w:bookmarkStart w:id="24" w:name="_Toc70684637"/>
      <w:r>
        <w:rPr>
          <w:rFonts w:ascii="仿宋" w:hAnsi="仿宋" w:eastAsia="仿宋" w:cs="仿宋"/>
          <w:sz w:val="28"/>
          <w:szCs w:val="28"/>
        </w:rPr>
        <w:t>3.</w:t>
      </w:r>
      <w:r>
        <w:rPr>
          <w:rFonts w:hint="eastAsia" w:ascii="仿宋" w:hAnsi="仿宋" w:eastAsia="仿宋" w:cs="仿宋"/>
          <w:sz w:val="28"/>
          <w:szCs w:val="28"/>
        </w:rPr>
        <w:t>国内钨生产与进出口相关政策</w:t>
      </w:r>
      <w:bookmarkEnd w:id="24"/>
    </w:p>
    <w:p>
      <w:pPr>
        <w:pStyle w:val="5"/>
        <w:spacing w:before="240" w:after="120" w:line="377" w:lineRule="auto"/>
        <w:rPr>
          <w:rFonts w:ascii="仿宋" w:hAnsi="仿宋" w:eastAsia="仿宋" w:cs="Times New Roman"/>
        </w:rPr>
      </w:pPr>
      <w:r>
        <w:rPr>
          <w:rFonts w:hint="eastAsia" w:ascii="仿宋" w:hAnsi="仿宋" w:eastAsia="仿宋" w:cs="仿宋"/>
        </w:rPr>
        <w:t>（</w:t>
      </w:r>
      <w:r>
        <w:rPr>
          <w:rFonts w:ascii="仿宋" w:hAnsi="仿宋" w:eastAsia="仿宋" w:cs="仿宋"/>
        </w:rPr>
        <w:t>1</w:t>
      </w:r>
      <w:r>
        <w:rPr>
          <w:rFonts w:hint="eastAsia" w:ascii="仿宋" w:hAnsi="仿宋" w:eastAsia="仿宋" w:cs="仿宋"/>
        </w:rPr>
        <w:t>）钨矿开采总量控制</w:t>
      </w:r>
    </w:p>
    <w:p>
      <w:pPr>
        <w:spacing w:line="560" w:lineRule="exact"/>
        <w:ind w:firstLine="31680" w:firstLineChars="196"/>
        <w:rPr>
          <w:rFonts w:ascii="仿宋" w:hAnsi="仿宋" w:eastAsia="仿宋" w:cs="Times New Roman"/>
          <w:sz w:val="28"/>
          <w:szCs w:val="28"/>
        </w:rPr>
      </w:pPr>
      <w:r>
        <w:rPr>
          <w:rFonts w:hint="eastAsia" w:ascii="仿宋" w:hAnsi="仿宋" w:eastAsia="仿宋" w:cs="仿宋"/>
          <w:sz w:val="28"/>
          <w:szCs w:val="28"/>
        </w:rPr>
        <w:t>钨是国家控制开采的战略资源，从</w:t>
      </w:r>
      <w:r>
        <w:rPr>
          <w:rFonts w:ascii="仿宋" w:hAnsi="仿宋" w:eastAsia="仿宋" w:cs="仿宋"/>
          <w:sz w:val="28"/>
          <w:szCs w:val="28"/>
        </w:rPr>
        <w:t>2002</w:t>
      </w:r>
      <w:r>
        <w:rPr>
          <w:rFonts w:hint="eastAsia" w:ascii="仿宋" w:hAnsi="仿宋" w:eastAsia="仿宋" w:cs="仿宋"/>
          <w:sz w:val="28"/>
          <w:szCs w:val="28"/>
        </w:rPr>
        <w:t>年开始实行钨开采总量控制，并暂停颁发钨矿采矿许可证。下达的钨开采总量控制指标是以满足国内经济发展对钨的需求为前提，体现了控制主采钨总量增长，鼓励对伴生钨、低品位钨的综合回收利用和提高钨采、选综合回收率的宗旨；暂停受理钨、锑和稀土矿勘查许可证、采矿许可证申请，彰显了国家对战略资源的保护和合理利用的重视。</w:t>
      </w:r>
    </w:p>
    <w:p>
      <w:pPr>
        <w:spacing w:line="560" w:lineRule="exact"/>
        <w:ind w:firstLine="31680" w:firstLineChars="196"/>
        <w:rPr>
          <w:rFonts w:ascii="仿宋" w:hAnsi="仿宋" w:eastAsia="仿宋" w:cs="Times New Roman"/>
          <w:sz w:val="28"/>
          <w:szCs w:val="28"/>
        </w:rPr>
      </w:pPr>
      <w:r>
        <w:rPr>
          <w:rFonts w:hint="eastAsia" w:ascii="仿宋" w:hAnsi="仿宋" w:eastAsia="仿宋" w:cs="仿宋"/>
          <w:sz w:val="28"/>
          <w:szCs w:val="28"/>
        </w:rPr>
        <w:t>工信部、自然资源部下达</w:t>
      </w:r>
      <w:r>
        <w:rPr>
          <w:rFonts w:ascii="仿宋" w:hAnsi="仿宋" w:eastAsia="仿宋" w:cs="仿宋"/>
          <w:sz w:val="28"/>
          <w:szCs w:val="28"/>
        </w:rPr>
        <w:t>2020</w:t>
      </w:r>
      <w:r>
        <w:rPr>
          <w:rFonts w:hint="eastAsia" w:ascii="仿宋" w:hAnsi="仿宋" w:eastAsia="仿宋" w:cs="仿宋"/>
          <w:sz w:val="28"/>
          <w:szCs w:val="28"/>
        </w:rPr>
        <w:t>年度全国钨精矿（三氧化钨含量</w:t>
      </w:r>
      <w:r>
        <w:rPr>
          <w:rFonts w:ascii="仿宋" w:hAnsi="仿宋" w:eastAsia="仿宋" w:cs="仿宋"/>
          <w:sz w:val="28"/>
          <w:szCs w:val="28"/>
        </w:rPr>
        <w:t>65%</w:t>
      </w:r>
      <w:r>
        <w:rPr>
          <w:rFonts w:hint="eastAsia" w:ascii="仿宋" w:hAnsi="仿宋" w:eastAsia="仿宋" w:cs="仿宋"/>
          <w:sz w:val="28"/>
          <w:szCs w:val="28"/>
        </w:rPr>
        <w:t>）开采总量控制指标为</w:t>
      </w:r>
      <w:r>
        <w:rPr>
          <w:rFonts w:ascii="仿宋" w:hAnsi="仿宋" w:eastAsia="仿宋" w:cs="仿宋"/>
          <w:sz w:val="28"/>
          <w:szCs w:val="28"/>
        </w:rPr>
        <w:t>105000</w:t>
      </w:r>
      <w:r>
        <w:rPr>
          <w:rFonts w:hint="eastAsia" w:ascii="仿宋" w:hAnsi="仿宋" w:eastAsia="仿宋" w:cs="仿宋"/>
          <w:sz w:val="28"/>
          <w:szCs w:val="28"/>
        </w:rPr>
        <w:t>吨，与</w:t>
      </w:r>
      <w:r>
        <w:rPr>
          <w:rFonts w:ascii="仿宋" w:hAnsi="仿宋" w:eastAsia="仿宋" w:cs="仿宋"/>
          <w:sz w:val="28"/>
          <w:szCs w:val="28"/>
        </w:rPr>
        <w:t>2019</w:t>
      </w:r>
      <w:r>
        <w:rPr>
          <w:rFonts w:hint="eastAsia" w:ascii="仿宋" w:hAnsi="仿宋" w:eastAsia="仿宋" w:cs="仿宋"/>
          <w:sz w:val="28"/>
          <w:szCs w:val="28"/>
        </w:rPr>
        <w:t>年指标相同。其中主采指标</w:t>
      </w:r>
      <w:r>
        <w:rPr>
          <w:rFonts w:ascii="仿宋" w:hAnsi="仿宋" w:eastAsia="仿宋" w:cs="仿宋"/>
          <w:sz w:val="28"/>
          <w:szCs w:val="28"/>
        </w:rPr>
        <w:t>78150</w:t>
      </w:r>
      <w:r>
        <w:rPr>
          <w:rFonts w:hint="eastAsia" w:ascii="仿宋" w:hAnsi="仿宋" w:eastAsia="仿宋" w:cs="仿宋"/>
          <w:sz w:val="28"/>
          <w:szCs w:val="28"/>
        </w:rPr>
        <w:t>吨，综合利用指标</w:t>
      </w:r>
      <w:r>
        <w:rPr>
          <w:rFonts w:ascii="仿宋" w:hAnsi="仿宋" w:eastAsia="仿宋" w:cs="仿宋"/>
          <w:sz w:val="28"/>
          <w:szCs w:val="28"/>
        </w:rPr>
        <w:t>26850</w:t>
      </w:r>
      <w:r>
        <w:rPr>
          <w:rFonts w:hint="eastAsia" w:ascii="仿宋" w:hAnsi="仿宋" w:eastAsia="仿宋" w:cs="仿宋"/>
          <w:sz w:val="28"/>
          <w:szCs w:val="28"/>
        </w:rPr>
        <w:t>吨。</w:t>
      </w:r>
    </w:p>
    <w:p>
      <w:pPr>
        <w:pStyle w:val="5"/>
        <w:spacing w:before="240" w:after="120" w:line="377" w:lineRule="auto"/>
        <w:rPr>
          <w:rFonts w:ascii="仿宋" w:hAnsi="仿宋" w:eastAsia="仿宋" w:cs="Times New Roman"/>
        </w:rPr>
      </w:pPr>
      <w:r>
        <w:rPr>
          <w:rFonts w:hint="eastAsia" w:ascii="仿宋" w:hAnsi="仿宋" w:eastAsia="仿宋" w:cs="仿宋"/>
        </w:rPr>
        <w:t>（</w:t>
      </w:r>
      <w:r>
        <w:rPr>
          <w:rFonts w:ascii="仿宋" w:hAnsi="仿宋" w:eastAsia="仿宋" w:cs="仿宋"/>
        </w:rPr>
        <w:t>2</w:t>
      </w:r>
      <w:r>
        <w:rPr>
          <w:rFonts w:hint="eastAsia" w:ascii="仿宋" w:hAnsi="仿宋" w:eastAsia="仿宋" w:cs="仿宋"/>
        </w:rPr>
        <w:t>）钨出口政策调整</w:t>
      </w:r>
    </w:p>
    <w:p>
      <w:pPr>
        <w:spacing w:line="560" w:lineRule="exact"/>
        <w:ind w:firstLine="31680" w:firstLineChars="196"/>
        <w:rPr>
          <w:rFonts w:ascii="仿宋" w:hAnsi="仿宋" w:eastAsia="仿宋" w:cs="Times New Roman"/>
          <w:sz w:val="28"/>
          <w:szCs w:val="28"/>
        </w:rPr>
      </w:pPr>
      <w:r>
        <w:rPr>
          <w:rFonts w:hint="eastAsia" w:ascii="仿宋" w:hAnsi="仿宋" w:eastAsia="仿宋" w:cs="仿宋"/>
          <w:sz w:val="28"/>
          <w:szCs w:val="28"/>
        </w:rPr>
        <w:t>从</w:t>
      </w:r>
      <w:r>
        <w:rPr>
          <w:rFonts w:ascii="仿宋" w:hAnsi="仿宋" w:eastAsia="仿宋" w:cs="仿宋"/>
          <w:sz w:val="28"/>
          <w:szCs w:val="28"/>
        </w:rPr>
        <w:t>2001</w:t>
      </w:r>
      <w:r>
        <w:rPr>
          <w:rFonts w:hint="eastAsia" w:ascii="仿宋" w:hAnsi="仿宋" w:eastAsia="仿宋" w:cs="仿宋"/>
          <w:sz w:val="28"/>
          <w:szCs w:val="28"/>
        </w:rPr>
        <w:t>年起，中国对钨产品的出口和出口供货实行资格认证管理。且从</w:t>
      </w:r>
      <w:r>
        <w:rPr>
          <w:rFonts w:ascii="仿宋" w:hAnsi="仿宋" w:eastAsia="仿宋" w:cs="仿宋"/>
          <w:sz w:val="28"/>
          <w:szCs w:val="28"/>
        </w:rPr>
        <w:t>2001</w:t>
      </w:r>
      <w:r>
        <w:rPr>
          <w:rFonts w:hint="eastAsia" w:ascii="仿宋" w:hAnsi="仿宋" w:eastAsia="仿宋" w:cs="仿宋"/>
          <w:sz w:val="28"/>
          <w:szCs w:val="28"/>
        </w:rPr>
        <w:t>年开始，商务部每年公布钨制品出口总量及配额。在出口配额的分配方面</w:t>
      </w:r>
      <w:r>
        <w:rPr>
          <w:rFonts w:ascii="仿宋" w:hAnsi="仿宋" w:eastAsia="仿宋" w:cs="仿宋"/>
          <w:sz w:val="28"/>
          <w:szCs w:val="28"/>
        </w:rPr>
        <w:t>,</w:t>
      </w:r>
      <w:r>
        <w:rPr>
          <w:rFonts w:hint="eastAsia" w:ascii="仿宋" w:hAnsi="仿宋" w:eastAsia="仿宋" w:cs="仿宋"/>
          <w:sz w:val="28"/>
          <w:szCs w:val="28"/>
        </w:rPr>
        <w:t>体现了国家对钨品出口向深加工产品倾斜的政策。</w:t>
      </w:r>
    </w:p>
    <w:p>
      <w:pPr>
        <w:spacing w:line="560" w:lineRule="exact"/>
        <w:ind w:firstLine="31680" w:firstLineChars="196"/>
        <w:rPr>
          <w:rFonts w:ascii="仿宋" w:hAnsi="仿宋" w:eastAsia="仿宋" w:cs="Times New Roman"/>
          <w:sz w:val="28"/>
          <w:szCs w:val="28"/>
        </w:rPr>
      </w:pPr>
      <w:r>
        <w:rPr>
          <w:rFonts w:ascii="仿宋" w:hAnsi="仿宋" w:eastAsia="仿宋" w:cs="仿宋"/>
          <w:sz w:val="28"/>
          <w:szCs w:val="28"/>
        </w:rPr>
        <w:t>2014</w:t>
      </w:r>
      <w:r>
        <w:rPr>
          <w:rFonts w:hint="eastAsia" w:ascii="仿宋" w:hAnsi="仿宋" w:eastAsia="仿宋" w:cs="仿宋"/>
          <w:sz w:val="28"/>
          <w:szCs w:val="28"/>
        </w:rPr>
        <w:t>年</w:t>
      </w:r>
      <w:r>
        <w:rPr>
          <w:rFonts w:ascii="仿宋" w:hAnsi="仿宋" w:eastAsia="仿宋" w:cs="仿宋"/>
          <w:sz w:val="28"/>
          <w:szCs w:val="28"/>
        </w:rPr>
        <w:t>8</w:t>
      </w:r>
      <w:r>
        <w:rPr>
          <w:rFonts w:hint="eastAsia" w:ascii="仿宋" w:hAnsi="仿宋" w:eastAsia="仿宋" w:cs="仿宋"/>
          <w:sz w:val="28"/>
          <w:szCs w:val="28"/>
        </w:rPr>
        <w:t>月</w:t>
      </w:r>
      <w:r>
        <w:rPr>
          <w:rFonts w:ascii="仿宋" w:hAnsi="仿宋" w:eastAsia="仿宋" w:cs="仿宋"/>
          <w:sz w:val="28"/>
          <w:szCs w:val="28"/>
        </w:rPr>
        <w:t>7</w:t>
      </w:r>
      <w:r>
        <w:rPr>
          <w:rFonts w:hint="eastAsia" w:ascii="仿宋" w:hAnsi="仿宋" w:eastAsia="仿宋" w:cs="仿宋"/>
          <w:sz w:val="28"/>
          <w:szCs w:val="28"/>
        </w:rPr>
        <w:t>日，</w:t>
      </w:r>
      <w:r>
        <w:rPr>
          <w:rFonts w:ascii="仿宋" w:hAnsi="仿宋" w:eastAsia="仿宋" w:cs="仿宋"/>
          <w:sz w:val="28"/>
          <w:szCs w:val="28"/>
        </w:rPr>
        <w:t>WTO</w:t>
      </w:r>
      <w:r>
        <w:rPr>
          <w:rFonts w:hint="eastAsia" w:ascii="仿宋" w:hAnsi="仿宋" w:eastAsia="仿宋" w:cs="仿宋"/>
          <w:sz w:val="28"/>
          <w:szCs w:val="28"/>
        </w:rPr>
        <w:t>在日内瓦仍然裁定中国钨出口税和出口配额违反世贸规则。从</w:t>
      </w:r>
      <w:r>
        <w:rPr>
          <w:rFonts w:ascii="仿宋" w:hAnsi="仿宋" w:eastAsia="仿宋" w:cs="仿宋"/>
          <w:sz w:val="28"/>
          <w:szCs w:val="28"/>
        </w:rPr>
        <w:t>2015</w:t>
      </w:r>
      <w:r>
        <w:rPr>
          <w:rFonts w:hint="eastAsia" w:ascii="仿宋" w:hAnsi="仿宋" w:eastAsia="仿宋" w:cs="仿宋"/>
          <w:sz w:val="28"/>
          <w:szCs w:val="28"/>
        </w:rPr>
        <w:t>年</w:t>
      </w:r>
      <w:r>
        <w:rPr>
          <w:rFonts w:ascii="仿宋" w:hAnsi="仿宋" w:eastAsia="仿宋" w:cs="仿宋"/>
          <w:sz w:val="28"/>
          <w:szCs w:val="28"/>
        </w:rPr>
        <w:t>1</w:t>
      </w:r>
      <w:r>
        <w:rPr>
          <w:rFonts w:hint="eastAsia" w:ascii="仿宋" w:hAnsi="仿宋" w:eastAsia="仿宋" w:cs="仿宋"/>
          <w:sz w:val="28"/>
          <w:szCs w:val="28"/>
        </w:rPr>
        <w:t>月</w:t>
      </w:r>
      <w:r>
        <w:rPr>
          <w:rFonts w:ascii="仿宋" w:hAnsi="仿宋" w:eastAsia="仿宋" w:cs="仿宋"/>
          <w:sz w:val="28"/>
          <w:szCs w:val="28"/>
        </w:rPr>
        <w:t>1</w:t>
      </w:r>
      <w:r>
        <w:rPr>
          <w:rFonts w:hint="eastAsia" w:ascii="仿宋" w:hAnsi="仿宋" w:eastAsia="仿宋" w:cs="仿宋"/>
          <w:sz w:val="28"/>
          <w:szCs w:val="28"/>
        </w:rPr>
        <w:t>日开始，中国钨出口政策作出相应调整，出口配额取消，出口国营贸易资质保留。</w:t>
      </w:r>
    </w:p>
    <w:p>
      <w:pPr>
        <w:spacing w:line="560" w:lineRule="exact"/>
        <w:ind w:firstLine="31680" w:firstLineChars="196"/>
        <w:rPr>
          <w:rFonts w:ascii="仿宋" w:hAnsi="仿宋" w:eastAsia="仿宋" w:cs="Times New Roman"/>
        </w:rPr>
      </w:pPr>
      <w:r>
        <w:rPr>
          <w:rFonts w:hint="eastAsia" w:ascii="仿宋" w:hAnsi="仿宋" w:eastAsia="仿宋" w:cs="仿宋"/>
          <w:sz w:val="28"/>
          <w:szCs w:val="28"/>
        </w:rPr>
        <w:t>根据商务部关于公布</w:t>
      </w:r>
      <w:r>
        <w:rPr>
          <w:rFonts w:ascii="仿宋" w:hAnsi="仿宋" w:eastAsia="仿宋" w:cs="仿宋"/>
          <w:sz w:val="28"/>
          <w:szCs w:val="28"/>
        </w:rPr>
        <w:t>2020-2021</w:t>
      </w:r>
      <w:r>
        <w:rPr>
          <w:rFonts w:hint="eastAsia" w:ascii="仿宋" w:hAnsi="仿宋" w:eastAsia="仿宋" w:cs="仿宋"/>
          <w:sz w:val="28"/>
          <w:szCs w:val="28"/>
        </w:rPr>
        <w:t>年度钨、锑、白银出口国营贸易企业名单的通知，洛钼集团和赣州海创新增为钨国营贸易出口企业，国营贸易出口企业达到</w:t>
      </w:r>
      <w:r>
        <w:rPr>
          <w:rFonts w:ascii="仿宋" w:hAnsi="仿宋" w:eastAsia="仿宋" w:cs="仿宋"/>
          <w:sz w:val="28"/>
          <w:szCs w:val="28"/>
        </w:rPr>
        <w:t>16</w:t>
      </w:r>
      <w:r>
        <w:rPr>
          <w:rFonts w:hint="eastAsia" w:ascii="仿宋" w:hAnsi="仿宋" w:eastAsia="仿宋" w:cs="仿宋"/>
          <w:sz w:val="28"/>
          <w:szCs w:val="28"/>
        </w:rPr>
        <w:t>家。福建企业包括厦门钨业、厦门金鹭和福建金鑫钨业股份有限公司。</w:t>
      </w:r>
    </w:p>
    <w:p>
      <w:pPr>
        <w:pStyle w:val="2"/>
        <w:spacing w:before="120" w:after="120" w:line="240" w:lineRule="auto"/>
        <w:rPr>
          <w:rFonts w:ascii="黑体" w:hAnsi="黑体" w:eastAsia="黑体" w:cs="Times New Roman"/>
          <w:b w:val="0"/>
          <w:bCs w:val="0"/>
          <w:sz w:val="28"/>
          <w:szCs w:val="28"/>
        </w:rPr>
      </w:pPr>
      <w:bookmarkStart w:id="25" w:name="_Toc70684638"/>
      <w:r>
        <w:rPr>
          <w:rFonts w:hint="eastAsia" w:ascii="黑体" w:hAnsi="黑体" w:eastAsia="黑体" w:cs="黑体"/>
          <w:b w:val="0"/>
          <w:bCs w:val="0"/>
          <w:sz w:val="28"/>
          <w:szCs w:val="28"/>
        </w:rPr>
        <w:t>三、龙岩市有色金属产业发展现状</w:t>
      </w:r>
      <w:bookmarkEnd w:id="25"/>
    </w:p>
    <w:p>
      <w:pPr>
        <w:pStyle w:val="3"/>
        <w:rPr>
          <w:rFonts w:ascii="仿宋" w:hAnsi="仿宋" w:eastAsia="仿宋" w:cs="Times New Roman"/>
          <w:sz w:val="28"/>
          <w:szCs w:val="28"/>
        </w:rPr>
      </w:pPr>
      <w:bookmarkStart w:id="26" w:name="_Toc70684639"/>
      <w:r>
        <w:rPr>
          <w:rFonts w:hint="eastAsia" w:ascii="仿宋" w:hAnsi="仿宋" w:eastAsia="仿宋" w:cs="仿宋"/>
          <w:sz w:val="28"/>
          <w:szCs w:val="28"/>
        </w:rPr>
        <w:t>（一）龙岩市经济发展概况</w:t>
      </w:r>
      <w:bookmarkEnd w:id="26"/>
    </w:p>
    <w:p>
      <w:pPr>
        <w:spacing w:line="560" w:lineRule="exact"/>
        <w:ind w:firstLine="31680" w:firstLineChars="200"/>
        <w:rPr>
          <w:rFonts w:ascii="仿宋" w:hAnsi="仿宋" w:eastAsia="仿宋" w:cs="Times New Roman"/>
          <w:sz w:val="28"/>
          <w:szCs w:val="28"/>
        </w:rPr>
      </w:pPr>
      <w:r>
        <w:rPr>
          <w:rFonts w:hint="eastAsia" w:ascii="仿宋" w:hAnsi="仿宋" w:eastAsia="仿宋" w:cs="仿宋"/>
          <w:sz w:val="28"/>
          <w:szCs w:val="28"/>
        </w:rPr>
        <w:t>龙岩位于福建省西部，地处闽粤赣三省交界，通称闽西，是全国最早“打开山门，拥抱世界”的革命老区、山区地市之一，是“红色圣地、生态福地、客家祖地、创业宝地”。龙岩市具有区位好、资源富、政策优、产业实等发展优势，建立了金铜产业基地、国家专用车与应急产业生产示范基地、稀土产业绿色发展基地、国家新型工业化产业军民融合示范基地和数字经济产业发展基地等五大产业基地，初步形成有色金属、机械装备、文旅康养、新材料新能源、数字、特色现代农业等六大产业，涌现出紫金矿业、龙净环保、龙工机械、龙马环卫等一大批上市企业、龙头企业。</w:t>
      </w:r>
    </w:p>
    <w:p>
      <w:pPr>
        <w:spacing w:line="560" w:lineRule="exact"/>
        <w:ind w:firstLine="31680" w:firstLineChars="200"/>
        <w:rPr>
          <w:rFonts w:ascii="仿宋" w:hAnsi="仿宋" w:eastAsia="仿宋" w:cs="Times New Roman"/>
          <w:sz w:val="28"/>
          <w:szCs w:val="28"/>
        </w:rPr>
      </w:pPr>
      <w:r>
        <w:rPr>
          <w:rFonts w:ascii="仿宋" w:hAnsi="仿宋" w:eastAsia="仿宋" w:cs="仿宋"/>
          <w:sz w:val="28"/>
          <w:szCs w:val="28"/>
        </w:rPr>
        <w:t>2020</w:t>
      </w:r>
      <w:r>
        <w:rPr>
          <w:rFonts w:hint="eastAsia" w:ascii="仿宋" w:hAnsi="仿宋" w:eastAsia="仿宋" w:cs="仿宋"/>
          <w:sz w:val="28"/>
          <w:szCs w:val="28"/>
        </w:rPr>
        <w:t>年龙岩市</w:t>
      </w:r>
      <w:r>
        <w:rPr>
          <w:rFonts w:ascii="仿宋" w:hAnsi="仿宋" w:eastAsia="仿宋" w:cs="仿宋"/>
          <w:sz w:val="28"/>
          <w:szCs w:val="28"/>
        </w:rPr>
        <w:t>GDP</w:t>
      </w:r>
      <w:r>
        <w:rPr>
          <w:rFonts w:hint="eastAsia" w:ascii="仿宋" w:hAnsi="仿宋" w:eastAsia="仿宋" w:cs="仿宋"/>
          <w:sz w:val="28"/>
          <w:szCs w:val="28"/>
        </w:rPr>
        <w:t>总量为</w:t>
      </w:r>
      <w:r>
        <w:rPr>
          <w:rFonts w:ascii="仿宋" w:hAnsi="仿宋" w:eastAsia="仿宋" w:cs="仿宋"/>
          <w:sz w:val="28"/>
          <w:szCs w:val="28"/>
        </w:rPr>
        <w:t>2870.9</w:t>
      </w:r>
      <w:r>
        <w:rPr>
          <w:rFonts w:hint="eastAsia" w:ascii="仿宋" w:hAnsi="仿宋" w:eastAsia="仿宋" w:cs="仿宋"/>
          <w:sz w:val="28"/>
          <w:szCs w:val="28"/>
        </w:rPr>
        <w:t>亿元，同比增长</w:t>
      </w:r>
      <w:r>
        <w:rPr>
          <w:rFonts w:ascii="仿宋" w:hAnsi="仿宋" w:eastAsia="仿宋" w:cs="仿宋"/>
          <w:sz w:val="28"/>
          <w:szCs w:val="28"/>
        </w:rPr>
        <w:t>5.3</w:t>
      </w:r>
      <w:r>
        <w:rPr>
          <w:rFonts w:hint="eastAsia" w:ascii="仿宋" w:hAnsi="仿宋" w:eastAsia="仿宋" w:cs="仿宋"/>
          <w:sz w:val="28"/>
          <w:szCs w:val="28"/>
        </w:rPr>
        <w:t>％。其中，第一产业增加值</w:t>
      </w:r>
      <w:r>
        <w:rPr>
          <w:rFonts w:ascii="仿宋" w:hAnsi="仿宋" w:eastAsia="仿宋" w:cs="仿宋"/>
          <w:sz w:val="28"/>
          <w:szCs w:val="28"/>
        </w:rPr>
        <w:t>319.73</w:t>
      </w:r>
      <w:r>
        <w:rPr>
          <w:rFonts w:hint="eastAsia" w:ascii="仿宋" w:hAnsi="仿宋" w:eastAsia="仿宋" w:cs="仿宋"/>
          <w:sz w:val="28"/>
          <w:szCs w:val="28"/>
        </w:rPr>
        <w:t>亿元，增长</w:t>
      </w:r>
      <w:r>
        <w:rPr>
          <w:rFonts w:ascii="仿宋" w:hAnsi="仿宋" w:eastAsia="仿宋" w:cs="仿宋"/>
          <w:sz w:val="28"/>
          <w:szCs w:val="28"/>
        </w:rPr>
        <w:t>3.3%</w:t>
      </w:r>
      <w:r>
        <w:rPr>
          <w:rFonts w:hint="eastAsia" w:ascii="仿宋" w:hAnsi="仿宋" w:eastAsia="仿宋" w:cs="仿宋"/>
          <w:sz w:val="28"/>
          <w:szCs w:val="28"/>
        </w:rPr>
        <w:t>；第二产业增加值</w:t>
      </w:r>
      <w:r>
        <w:rPr>
          <w:rFonts w:ascii="仿宋" w:hAnsi="仿宋" w:eastAsia="仿宋" w:cs="仿宋"/>
          <w:sz w:val="28"/>
          <w:szCs w:val="28"/>
        </w:rPr>
        <w:t>1263.37</w:t>
      </w:r>
      <w:r>
        <w:rPr>
          <w:rFonts w:hint="eastAsia" w:ascii="仿宋" w:hAnsi="仿宋" w:eastAsia="仿宋" w:cs="仿宋"/>
          <w:sz w:val="28"/>
          <w:szCs w:val="28"/>
        </w:rPr>
        <w:t>亿元，增长</w:t>
      </w:r>
      <w:r>
        <w:rPr>
          <w:rFonts w:ascii="仿宋" w:hAnsi="仿宋" w:eastAsia="仿宋" w:cs="仿宋"/>
          <w:sz w:val="28"/>
          <w:szCs w:val="28"/>
        </w:rPr>
        <w:t>5.3%</w:t>
      </w:r>
      <w:r>
        <w:rPr>
          <w:rFonts w:hint="eastAsia" w:ascii="仿宋" w:hAnsi="仿宋" w:eastAsia="仿宋" w:cs="仿宋"/>
          <w:sz w:val="28"/>
          <w:szCs w:val="28"/>
        </w:rPr>
        <w:t>；第三产业增加值</w:t>
      </w:r>
      <w:r>
        <w:rPr>
          <w:rFonts w:ascii="仿宋" w:hAnsi="仿宋" w:eastAsia="仿宋" w:cs="仿宋"/>
          <w:sz w:val="28"/>
          <w:szCs w:val="28"/>
        </w:rPr>
        <w:t>1287.80</w:t>
      </w:r>
      <w:r>
        <w:rPr>
          <w:rFonts w:hint="eastAsia" w:ascii="仿宋" w:hAnsi="仿宋" w:eastAsia="仿宋" w:cs="仿宋"/>
          <w:sz w:val="28"/>
          <w:szCs w:val="28"/>
        </w:rPr>
        <w:t>亿元，增长</w:t>
      </w:r>
      <w:r>
        <w:rPr>
          <w:rFonts w:ascii="仿宋" w:hAnsi="仿宋" w:eastAsia="仿宋" w:cs="仿宋"/>
          <w:sz w:val="28"/>
          <w:szCs w:val="28"/>
        </w:rPr>
        <w:t>5.7%</w:t>
      </w:r>
      <w:r>
        <w:rPr>
          <w:rFonts w:hint="eastAsia" w:ascii="仿宋" w:hAnsi="仿宋" w:eastAsia="仿宋" w:cs="仿宋"/>
          <w:sz w:val="28"/>
          <w:szCs w:val="28"/>
        </w:rPr>
        <w:t>。三次产业结构为</w:t>
      </w:r>
      <w:r>
        <w:rPr>
          <w:rFonts w:ascii="仿宋" w:hAnsi="仿宋" w:eastAsia="仿宋" w:cs="仿宋"/>
          <w:sz w:val="28"/>
          <w:szCs w:val="28"/>
        </w:rPr>
        <w:t>11.1:44.0:44.9</w:t>
      </w:r>
      <w:r>
        <w:rPr>
          <w:rFonts w:hint="eastAsia" w:ascii="仿宋" w:hAnsi="仿宋" w:eastAsia="仿宋" w:cs="仿宋"/>
          <w:sz w:val="28"/>
          <w:szCs w:val="28"/>
        </w:rPr>
        <w:t>。</w:t>
      </w:r>
    </w:p>
    <w:p>
      <w:pPr>
        <w:pStyle w:val="3"/>
        <w:rPr>
          <w:rFonts w:ascii="仿宋" w:hAnsi="仿宋" w:eastAsia="仿宋" w:cs="Times New Roman"/>
          <w:sz w:val="28"/>
          <w:szCs w:val="28"/>
        </w:rPr>
      </w:pPr>
      <w:bookmarkStart w:id="27" w:name="_Toc70684640"/>
      <w:r>
        <w:rPr>
          <w:rFonts w:hint="eastAsia" w:ascii="仿宋" w:hAnsi="仿宋" w:eastAsia="仿宋" w:cs="仿宋"/>
          <w:sz w:val="28"/>
          <w:szCs w:val="28"/>
        </w:rPr>
        <w:t>（二）龙岩市有色产业发展现状</w:t>
      </w:r>
      <w:bookmarkEnd w:id="27"/>
    </w:p>
    <w:p>
      <w:pPr>
        <w:spacing w:line="560" w:lineRule="exact"/>
        <w:ind w:firstLine="31680" w:firstLineChars="200"/>
        <w:rPr>
          <w:rFonts w:ascii="仿宋" w:hAnsi="仿宋" w:eastAsia="仿宋" w:cs="Times New Roman"/>
          <w:sz w:val="28"/>
          <w:szCs w:val="28"/>
        </w:rPr>
      </w:pPr>
      <w:r>
        <w:rPr>
          <w:rFonts w:hint="eastAsia" w:ascii="仿宋" w:hAnsi="仿宋" w:eastAsia="仿宋" w:cs="仿宋"/>
          <w:sz w:val="28"/>
          <w:szCs w:val="28"/>
        </w:rPr>
        <w:t>龙岩市矿产资源丰富，已发现的矿物种类有</w:t>
      </w:r>
      <w:r>
        <w:rPr>
          <w:rFonts w:ascii="仿宋" w:hAnsi="仿宋" w:eastAsia="仿宋" w:cs="仿宋"/>
          <w:sz w:val="28"/>
          <w:szCs w:val="28"/>
        </w:rPr>
        <w:t>64</w:t>
      </w:r>
      <w:r>
        <w:rPr>
          <w:rFonts w:hint="eastAsia" w:ascii="仿宋" w:hAnsi="仿宋" w:eastAsia="仿宋" w:cs="仿宋"/>
          <w:sz w:val="28"/>
          <w:szCs w:val="28"/>
        </w:rPr>
        <w:t>种，其中能源矿产</w:t>
      </w:r>
      <w:r>
        <w:rPr>
          <w:rFonts w:ascii="仿宋" w:hAnsi="仿宋" w:eastAsia="仿宋" w:cs="仿宋"/>
          <w:sz w:val="28"/>
          <w:szCs w:val="28"/>
        </w:rPr>
        <w:t>3</w:t>
      </w:r>
      <w:r>
        <w:rPr>
          <w:rFonts w:hint="eastAsia" w:ascii="仿宋" w:hAnsi="仿宋" w:eastAsia="仿宋" w:cs="仿宋"/>
          <w:sz w:val="28"/>
          <w:szCs w:val="28"/>
        </w:rPr>
        <w:t>种，金属矿产</w:t>
      </w:r>
      <w:r>
        <w:rPr>
          <w:rFonts w:ascii="仿宋" w:hAnsi="仿宋" w:eastAsia="仿宋" w:cs="仿宋"/>
          <w:sz w:val="28"/>
          <w:szCs w:val="28"/>
        </w:rPr>
        <w:t>18</w:t>
      </w:r>
      <w:r>
        <w:rPr>
          <w:rFonts w:hint="eastAsia" w:ascii="仿宋" w:hAnsi="仿宋" w:eastAsia="仿宋" w:cs="仿宋"/>
          <w:sz w:val="28"/>
          <w:szCs w:val="28"/>
        </w:rPr>
        <w:t>种，非金属矿产</w:t>
      </w:r>
      <w:r>
        <w:rPr>
          <w:rFonts w:ascii="仿宋" w:hAnsi="仿宋" w:eastAsia="仿宋" w:cs="仿宋"/>
          <w:sz w:val="28"/>
          <w:szCs w:val="28"/>
        </w:rPr>
        <w:t>40</w:t>
      </w:r>
      <w:r>
        <w:rPr>
          <w:rFonts w:hint="eastAsia" w:ascii="仿宋" w:hAnsi="仿宋" w:eastAsia="仿宋" w:cs="仿宋"/>
          <w:sz w:val="28"/>
          <w:szCs w:val="28"/>
        </w:rPr>
        <w:t>种，其它矿产</w:t>
      </w:r>
      <w:r>
        <w:rPr>
          <w:rFonts w:ascii="仿宋" w:hAnsi="仿宋" w:eastAsia="仿宋" w:cs="仿宋"/>
          <w:sz w:val="28"/>
          <w:szCs w:val="28"/>
        </w:rPr>
        <w:t>3</w:t>
      </w:r>
      <w:r>
        <w:rPr>
          <w:rFonts w:hint="eastAsia" w:ascii="仿宋" w:hAnsi="仿宋" w:eastAsia="仿宋" w:cs="仿宋"/>
          <w:sz w:val="28"/>
          <w:szCs w:val="28"/>
        </w:rPr>
        <w:t>种。截至</w:t>
      </w:r>
      <w:r>
        <w:rPr>
          <w:rFonts w:ascii="仿宋" w:hAnsi="仿宋" w:eastAsia="仿宋" w:cs="仿宋"/>
          <w:sz w:val="28"/>
          <w:szCs w:val="28"/>
        </w:rPr>
        <w:t>2019</w:t>
      </w:r>
      <w:r>
        <w:rPr>
          <w:rFonts w:hint="eastAsia" w:ascii="仿宋" w:hAnsi="仿宋" w:eastAsia="仿宋" w:cs="仿宋"/>
          <w:sz w:val="28"/>
          <w:szCs w:val="28"/>
        </w:rPr>
        <w:t>年底，龙岩市主要有色金属保有资源储量分别为：铜</w:t>
      </w:r>
      <w:r>
        <w:rPr>
          <w:rFonts w:ascii="仿宋" w:hAnsi="仿宋" w:eastAsia="仿宋" w:cs="仿宋"/>
          <w:sz w:val="28"/>
          <w:szCs w:val="28"/>
        </w:rPr>
        <w:t>391</w:t>
      </w:r>
      <w:r>
        <w:rPr>
          <w:rFonts w:hint="eastAsia" w:ascii="仿宋" w:hAnsi="仿宋" w:eastAsia="仿宋" w:cs="仿宋"/>
          <w:sz w:val="28"/>
          <w:szCs w:val="28"/>
        </w:rPr>
        <w:t>万吨、金</w:t>
      </w:r>
      <w:r>
        <w:rPr>
          <w:rFonts w:ascii="仿宋" w:hAnsi="仿宋" w:eastAsia="仿宋" w:cs="仿宋"/>
          <w:sz w:val="28"/>
          <w:szCs w:val="28"/>
        </w:rPr>
        <w:t>15.7</w:t>
      </w:r>
      <w:r>
        <w:rPr>
          <w:rFonts w:hint="eastAsia" w:ascii="仿宋" w:hAnsi="仿宋" w:eastAsia="仿宋" w:cs="仿宋"/>
          <w:sz w:val="28"/>
          <w:szCs w:val="28"/>
        </w:rPr>
        <w:t>吨、钨</w:t>
      </w:r>
      <w:r>
        <w:rPr>
          <w:rFonts w:ascii="仿宋" w:hAnsi="仿宋" w:eastAsia="仿宋" w:cs="仿宋"/>
          <w:sz w:val="28"/>
          <w:szCs w:val="28"/>
        </w:rPr>
        <w:t>3473</w:t>
      </w:r>
      <w:r>
        <w:rPr>
          <w:rFonts w:hint="eastAsia" w:ascii="仿宋" w:hAnsi="仿宋" w:eastAsia="仿宋" w:cs="仿宋"/>
          <w:sz w:val="28"/>
          <w:szCs w:val="28"/>
        </w:rPr>
        <w:t>吨（</w:t>
      </w:r>
      <w:r>
        <w:rPr>
          <w:rFonts w:ascii="仿宋" w:hAnsi="仿宋" w:eastAsia="仿宋" w:cs="仿宋"/>
          <w:sz w:val="28"/>
          <w:szCs w:val="28"/>
        </w:rPr>
        <w:t>WO</w:t>
      </w:r>
      <w:r>
        <w:rPr>
          <w:rFonts w:ascii="仿宋" w:hAnsi="仿宋" w:eastAsia="仿宋" w:cs="仿宋"/>
          <w:sz w:val="28"/>
          <w:szCs w:val="28"/>
          <w:vertAlign w:val="subscript"/>
        </w:rPr>
        <w:t>3</w:t>
      </w:r>
      <w:r>
        <w:rPr>
          <w:rFonts w:hint="eastAsia" w:ascii="仿宋" w:hAnsi="仿宋" w:eastAsia="仿宋" w:cs="仿宋"/>
          <w:sz w:val="28"/>
          <w:szCs w:val="28"/>
        </w:rPr>
        <w:t>）、钼</w:t>
      </w:r>
      <w:r>
        <w:rPr>
          <w:rFonts w:ascii="仿宋" w:hAnsi="仿宋" w:eastAsia="仿宋" w:cs="仿宋"/>
          <w:sz w:val="28"/>
          <w:szCs w:val="28"/>
        </w:rPr>
        <w:t>25.2</w:t>
      </w:r>
      <w:r>
        <w:rPr>
          <w:rFonts w:hint="eastAsia" w:ascii="仿宋" w:hAnsi="仿宋" w:eastAsia="仿宋" w:cs="仿宋"/>
          <w:sz w:val="28"/>
          <w:szCs w:val="28"/>
        </w:rPr>
        <w:t>吨、稀土</w:t>
      </w:r>
      <w:r>
        <w:rPr>
          <w:rFonts w:ascii="仿宋" w:hAnsi="仿宋" w:eastAsia="仿宋" w:cs="仿宋"/>
          <w:sz w:val="28"/>
          <w:szCs w:val="28"/>
        </w:rPr>
        <w:t>36</w:t>
      </w:r>
      <w:r>
        <w:rPr>
          <w:rFonts w:hint="eastAsia" w:ascii="仿宋" w:hAnsi="仿宋" w:eastAsia="仿宋" w:cs="仿宋"/>
          <w:sz w:val="28"/>
          <w:szCs w:val="28"/>
        </w:rPr>
        <w:t>万吨（氧化物）。全市主要矿山有十座，包括金铜矿四座、稀土矿五座、钨矿一座，目前只有三座金铜矿在产，其余均处于停产或关闭状态。其中，紫金山金铜矿是国家“七五”期间发现的最主要的有色金属矿产地之一，是龙岩市知名矿业企业</w:t>
      </w:r>
      <w:r>
        <w:rPr>
          <w:rFonts w:ascii="仿宋" w:hAnsi="仿宋" w:eastAsia="仿宋" w:cs="仿宋"/>
          <w:sz w:val="28"/>
          <w:szCs w:val="28"/>
        </w:rPr>
        <w:t>——</w:t>
      </w:r>
      <w:r>
        <w:rPr>
          <w:rFonts w:hint="eastAsia" w:ascii="仿宋" w:hAnsi="仿宋" w:eastAsia="仿宋" w:cs="仿宋"/>
          <w:sz w:val="28"/>
          <w:szCs w:val="28"/>
        </w:rPr>
        <w:t>紫金矿业集团股份有限公司的发祥地，也是龙岩市资源量和产出量最大的有色金属矿山。</w:t>
      </w:r>
    </w:p>
    <w:p>
      <w:pPr>
        <w:spacing w:line="560" w:lineRule="exact"/>
        <w:ind w:firstLine="31680" w:firstLineChars="200"/>
        <w:rPr>
          <w:rFonts w:ascii="仿宋" w:hAnsi="仿宋" w:eastAsia="仿宋" w:cs="Times New Roman"/>
          <w:sz w:val="28"/>
          <w:szCs w:val="28"/>
        </w:rPr>
      </w:pPr>
      <w:r>
        <w:rPr>
          <w:rFonts w:hint="eastAsia" w:ascii="仿宋" w:hAnsi="仿宋" w:eastAsia="仿宋" w:cs="仿宋"/>
          <w:sz w:val="28"/>
          <w:szCs w:val="28"/>
        </w:rPr>
        <w:t>经过多年的发展，龙岩市有色金属产业已形成较大的规模，且各主要区县形成了龙头企业带动的差异化发展特色：以紫金矿业为龙头的上杭县，主要发展金铜产业，形成了从矿山采选、冶炼、深加工和终端产品制造的完整产业链，是龙岩市有色产业的主要聚集区，产值占比超过</w:t>
      </w:r>
      <w:r>
        <w:rPr>
          <w:rFonts w:ascii="仿宋" w:hAnsi="仿宋" w:eastAsia="仿宋" w:cs="仿宋"/>
          <w:sz w:val="28"/>
          <w:szCs w:val="28"/>
        </w:rPr>
        <w:t>80%</w:t>
      </w:r>
      <w:r>
        <w:rPr>
          <w:rFonts w:hint="eastAsia" w:ascii="仿宋" w:hAnsi="仿宋" w:eastAsia="仿宋" w:cs="仿宋"/>
          <w:sz w:val="28"/>
          <w:szCs w:val="28"/>
        </w:rPr>
        <w:t>；以长汀金龙稀土公司为龙头的长汀县，主要发展稀土矿采选、冶炼和磁性材料制造，年产值超过百亿元；以厦门钨业控股的鑫鹭钨业为龙头的新罗区，主要发展钨冶炼及硬质合金加工制造；此外，在武平县和连城县还分布着一些金铜、稀土矿业开采和其他有色金属加工制造等产业，但规模普遍偏小。</w:t>
      </w:r>
    </w:p>
    <w:p>
      <w:pPr>
        <w:spacing w:line="560" w:lineRule="exact"/>
        <w:ind w:firstLine="31680" w:firstLineChars="200"/>
        <w:rPr>
          <w:rFonts w:ascii="仿宋" w:hAnsi="仿宋" w:eastAsia="仿宋" w:cs="Times New Roman"/>
          <w:sz w:val="28"/>
          <w:szCs w:val="28"/>
        </w:rPr>
      </w:pPr>
      <w:r>
        <w:rPr>
          <w:rFonts w:hint="eastAsia" w:ascii="仿宋" w:hAnsi="仿宋" w:eastAsia="仿宋" w:cs="仿宋"/>
          <w:sz w:val="28"/>
          <w:szCs w:val="28"/>
        </w:rPr>
        <w:t>截至</w:t>
      </w:r>
      <w:r>
        <w:rPr>
          <w:rFonts w:ascii="仿宋" w:hAnsi="仿宋" w:eastAsia="仿宋" w:cs="仿宋"/>
          <w:sz w:val="28"/>
          <w:szCs w:val="28"/>
        </w:rPr>
        <w:t>2020</w:t>
      </w:r>
      <w:r>
        <w:rPr>
          <w:rFonts w:hint="eastAsia" w:ascii="仿宋" w:hAnsi="仿宋" w:eastAsia="仿宋" w:cs="仿宋"/>
          <w:sz w:val="28"/>
          <w:szCs w:val="28"/>
        </w:rPr>
        <w:t>年，龙岩市有色金属产业现有企业</w:t>
      </w:r>
      <w:r>
        <w:rPr>
          <w:rFonts w:ascii="仿宋" w:hAnsi="仿宋" w:eastAsia="仿宋" w:cs="仿宋"/>
          <w:sz w:val="28"/>
          <w:szCs w:val="28"/>
        </w:rPr>
        <w:t>79</w:t>
      </w:r>
      <w:r>
        <w:rPr>
          <w:rFonts w:hint="eastAsia" w:ascii="仿宋" w:hAnsi="仿宋" w:eastAsia="仿宋" w:cs="仿宋"/>
          <w:sz w:val="28"/>
          <w:szCs w:val="28"/>
        </w:rPr>
        <w:t>家，其中金铜产业企业</w:t>
      </w:r>
      <w:r>
        <w:rPr>
          <w:rFonts w:ascii="仿宋" w:hAnsi="仿宋" w:eastAsia="仿宋" w:cs="仿宋"/>
          <w:sz w:val="28"/>
          <w:szCs w:val="28"/>
        </w:rPr>
        <w:t>66</w:t>
      </w:r>
      <w:r>
        <w:rPr>
          <w:rFonts w:hint="eastAsia" w:ascii="仿宋" w:hAnsi="仿宋" w:eastAsia="仿宋" w:cs="仿宋"/>
          <w:sz w:val="28"/>
          <w:szCs w:val="28"/>
        </w:rPr>
        <w:t>家（铜产业链企业</w:t>
      </w:r>
      <w:r>
        <w:rPr>
          <w:rFonts w:ascii="仿宋" w:hAnsi="仿宋" w:eastAsia="仿宋" w:cs="仿宋"/>
          <w:sz w:val="28"/>
          <w:szCs w:val="28"/>
        </w:rPr>
        <w:t>35</w:t>
      </w:r>
      <w:r>
        <w:rPr>
          <w:rFonts w:hint="eastAsia" w:ascii="仿宋" w:hAnsi="仿宋" w:eastAsia="仿宋" w:cs="仿宋"/>
          <w:sz w:val="28"/>
          <w:szCs w:val="28"/>
        </w:rPr>
        <w:t>家、稀贵金属产业链企业</w:t>
      </w:r>
      <w:r>
        <w:rPr>
          <w:rFonts w:ascii="仿宋" w:hAnsi="仿宋" w:eastAsia="仿宋" w:cs="仿宋"/>
          <w:sz w:val="28"/>
          <w:szCs w:val="28"/>
        </w:rPr>
        <w:t>5</w:t>
      </w:r>
      <w:r>
        <w:rPr>
          <w:rFonts w:hint="eastAsia" w:ascii="仿宋" w:hAnsi="仿宋" w:eastAsia="仿宋" w:cs="仿宋"/>
          <w:sz w:val="28"/>
          <w:szCs w:val="28"/>
        </w:rPr>
        <w:t>家、循环经济产业链企业</w:t>
      </w:r>
      <w:r>
        <w:rPr>
          <w:rFonts w:ascii="仿宋" w:hAnsi="仿宋" w:eastAsia="仿宋" w:cs="仿宋"/>
          <w:sz w:val="28"/>
          <w:szCs w:val="28"/>
        </w:rPr>
        <w:t>18</w:t>
      </w:r>
      <w:r>
        <w:rPr>
          <w:rFonts w:hint="eastAsia" w:ascii="仿宋" w:hAnsi="仿宋" w:eastAsia="仿宋" w:cs="仿宋"/>
          <w:sz w:val="28"/>
          <w:szCs w:val="28"/>
        </w:rPr>
        <w:t>家，产业配套企业</w:t>
      </w:r>
      <w:r>
        <w:rPr>
          <w:rFonts w:ascii="仿宋" w:hAnsi="仿宋" w:eastAsia="仿宋" w:cs="仿宋"/>
          <w:sz w:val="28"/>
          <w:szCs w:val="28"/>
        </w:rPr>
        <w:t>8</w:t>
      </w:r>
      <w:r>
        <w:rPr>
          <w:rFonts w:hint="eastAsia" w:ascii="仿宋" w:hAnsi="仿宋" w:eastAsia="仿宋" w:cs="仿宋"/>
          <w:sz w:val="28"/>
          <w:szCs w:val="28"/>
        </w:rPr>
        <w:t>家）、稀土产业企业</w:t>
      </w:r>
      <w:r>
        <w:rPr>
          <w:rFonts w:ascii="仿宋" w:hAnsi="仿宋" w:eastAsia="仿宋" w:cs="仿宋"/>
          <w:sz w:val="28"/>
          <w:szCs w:val="28"/>
        </w:rPr>
        <w:t>13</w:t>
      </w:r>
      <w:r>
        <w:rPr>
          <w:rFonts w:hint="eastAsia" w:ascii="仿宋" w:hAnsi="仿宋" w:eastAsia="仿宋" w:cs="仿宋"/>
          <w:sz w:val="28"/>
          <w:szCs w:val="28"/>
        </w:rPr>
        <w:t>家（开采企业</w:t>
      </w:r>
      <w:r>
        <w:rPr>
          <w:rFonts w:ascii="仿宋" w:hAnsi="仿宋" w:eastAsia="仿宋" w:cs="仿宋"/>
          <w:sz w:val="28"/>
          <w:szCs w:val="28"/>
        </w:rPr>
        <w:t>1</w:t>
      </w:r>
      <w:r>
        <w:rPr>
          <w:rFonts w:hint="eastAsia" w:ascii="仿宋" w:hAnsi="仿宋" w:eastAsia="仿宋" w:cs="仿宋"/>
          <w:sz w:val="28"/>
          <w:szCs w:val="28"/>
        </w:rPr>
        <w:t>家、下游深加工企业</w:t>
      </w:r>
      <w:r>
        <w:rPr>
          <w:rFonts w:ascii="仿宋" w:hAnsi="仿宋" w:eastAsia="仿宋" w:cs="仿宋"/>
          <w:sz w:val="28"/>
          <w:szCs w:val="28"/>
        </w:rPr>
        <w:t>11</w:t>
      </w:r>
      <w:r>
        <w:rPr>
          <w:rFonts w:hint="eastAsia" w:ascii="仿宋" w:hAnsi="仿宋" w:eastAsia="仿宋" w:cs="仿宋"/>
          <w:sz w:val="28"/>
          <w:szCs w:val="28"/>
        </w:rPr>
        <w:t>家、产业配套企业</w:t>
      </w:r>
      <w:r>
        <w:rPr>
          <w:rFonts w:ascii="仿宋" w:hAnsi="仿宋" w:eastAsia="仿宋" w:cs="仿宋"/>
          <w:sz w:val="28"/>
          <w:szCs w:val="28"/>
        </w:rPr>
        <w:t>1</w:t>
      </w:r>
      <w:r>
        <w:rPr>
          <w:rFonts w:hint="eastAsia" w:ascii="仿宋" w:hAnsi="仿宋" w:eastAsia="仿宋" w:cs="仿宋"/>
          <w:sz w:val="28"/>
          <w:szCs w:val="28"/>
        </w:rPr>
        <w:t>家）。</w:t>
      </w:r>
      <w:r>
        <w:rPr>
          <w:rFonts w:ascii="仿宋" w:hAnsi="仿宋" w:eastAsia="仿宋" w:cs="仿宋"/>
          <w:sz w:val="28"/>
          <w:szCs w:val="28"/>
        </w:rPr>
        <w:t>2020</w:t>
      </w:r>
      <w:r>
        <w:rPr>
          <w:rFonts w:hint="eastAsia" w:ascii="仿宋" w:hAnsi="仿宋" w:eastAsia="仿宋" w:cs="仿宋"/>
          <w:sz w:val="28"/>
          <w:szCs w:val="28"/>
        </w:rPr>
        <w:t>年，龙岩市实现黄金产量</w:t>
      </w:r>
      <w:r>
        <w:rPr>
          <w:rFonts w:ascii="仿宋" w:hAnsi="仿宋" w:eastAsia="仿宋" w:cs="仿宋"/>
          <w:sz w:val="28"/>
          <w:szCs w:val="28"/>
        </w:rPr>
        <w:t>171.4</w:t>
      </w:r>
      <w:r>
        <w:rPr>
          <w:rFonts w:hint="eastAsia" w:ascii="仿宋" w:hAnsi="仿宋" w:eastAsia="仿宋" w:cs="仿宋"/>
          <w:sz w:val="28"/>
          <w:szCs w:val="28"/>
        </w:rPr>
        <w:t>吨，同比增长</w:t>
      </w:r>
      <w:r>
        <w:rPr>
          <w:rFonts w:ascii="仿宋" w:hAnsi="仿宋" w:eastAsia="仿宋" w:cs="仿宋"/>
          <w:sz w:val="28"/>
          <w:szCs w:val="28"/>
        </w:rPr>
        <w:t>1.4%</w:t>
      </w:r>
      <w:r>
        <w:rPr>
          <w:rFonts w:hint="eastAsia" w:ascii="仿宋" w:hAnsi="仿宋" w:eastAsia="仿宋" w:cs="仿宋"/>
          <w:sz w:val="28"/>
          <w:szCs w:val="28"/>
        </w:rPr>
        <w:t>；精炼铜</w:t>
      </w:r>
      <w:r>
        <w:rPr>
          <w:rFonts w:ascii="仿宋" w:hAnsi="仿宋" w:eastAsia="仿宋" w:cs="仿宋"/>
          <w:sz w:val="28"/>
          <w:szCs w:val="28"/>
        </w:rPr>
        <w:t>31.4</w:t>
      </w:r>
      <w:r>
        <w:rPr>
          <w:rFonts w:hint="eastAsia" w:ascii="仿宋" w:hAnsi="仿宋" w:eastAsia="仿宋" w:cs="仿宋"/>
          <w:sz w:val="28"/>
          <w:szCs w:val="28"/>
        </w:rPr>
        <w:t>万吨，同比减少</w:t>
      </w:r>
      <w:r>
        <w:rPr>
          <w:rFonts w:ascii="仿宋" w:hAnsi="仿宋" w:eastAsia="仿宋" w:cs="仿宋"/>
          <w:sz w:val="28"/>
          <w:szCs w:val="28"/>
        </w:rPr>
        <w:t>4.5%</w:t>
      </w:r>
      <w:r>
        <w:rPr>
          <w:rFonts w:hint="eastAsia" w:ascii="仿宋" w:hAnsi="仿宋" w:eastAsia="仿宋" w:cs="仿宋"/>
          <w:sz w:val="28"/>
          <w:szCs w:val="28"/>
        </w:rPr>
        <w:t>；稀土氧化物</w:t>
      </w:r>
      <w:r>
        <w:rPr>
          <w:rFonts w:ascii="仿宋" w:hAnsi="仿宋" w:eastAsia="仿宋" w:cs="仿宋"/>
          <w:sz w:val="28"/>
          <w:szCs w:val="28"/>
        </w:rPr>
        <w:t>4216</w:t>
      </w:r>
      <w:r>
        <w:rPr>
          <w:rFonts w:hint="eastAsia" w:ascii="仿宋" w:hAnsi="仿宋" w:eastAsia="仿宋" w:cs="仿宋"/>
          <w:sz w:val="28"/>
          <w:szCs w:val="28"/>
        </w:rPr>
        <w:t>吨，同比增加</w:t>
      </w:r>
      <w:r>
        <w:rPr>
          <w:rFonts w:ascii="仿宋" w:hAnsi="仿宋" w:eastAsia="仿宋" w:cs="仿宋"/>
          <w:sz w:val="28"/>
          <w:szCs w:val="28"/>
        </w:rPr>
        <w:t>6.8%</w:t>
      </w:r>
      <w:r>
        <w:rPr>
          <w:rFonts w:hint="eastAsia" w:ascii="仿宋" w:hAnsi="仿宋" w:eastAsia="仿宋" w:cs="仿宋"/>
          <w:sz w:val="28"/>
          <w:szCs w:val="28"/>
        </w:rPr>
        <w:t>；稀土金属</w:t>
      </w:r>
      <w:r>
        <w:rPr>
          <w:rFonts w:ascii="仿宋" w:hAnsi="仿宋" w:eastAsia="仿宋" w:cs="仿宋"/>
          <w:sz w:val="28"/>
          <w:szCs w:val="28"/>
        </w:rPr>
        <w:t>1755</w:t>
      </w:r>
      <w:r>
        <w:rPr>
          <w:rFonts w:hint="eastAsia" w:ascii="仿宋" w:hAnsi="仿宋" w:eastAsia="仿宋" w:cs="仿宋"/>
          <w:sz w:val="28"/>
          <w:szCs w:val="28"/>
        </w:rPr>
        <w:t>吨，同比减少</w:t>
      </w:r>
      <w:r>
        <w:rPr>
          <w:rFonts w:ascii="仿宋" w:hAnsi="仿宋" w:eastAsia="仿宋" w:cs="仿宋"/>
          <w:sz w:val="28"/>
          <w:szCs w:val="28"/>
        </w:rPr>
        <w:t>8.0%</w:t>
      </w:r>
      <w:r>
        <w:rPr>
          <w:rFonts w:hint="eastAsia" w:ascii="仿宋" w:hAnsi="仿宋" w:eastAsia="仿宋" w:cs="仿宋"/>
          <w:sz w:val="28"/>
          <w:szCs w:val="28"/>
        </w:rPr>
        <w:t>。</w:t>
      </w:r>
      <w:r>
        <w:rPr>
          <w:rFonts w:ascii="仿宋" w:hAnsi="仿宋" w:eastAsia="仿宋" w:cs="仿宋"/>
          <w:sz w:val="28"/>
          <w:szCs w:val="28"/>
        </w:rPr>
        <w:t>2020</w:t>
      </w:r>
      <w:r>
        <w:rPr>
          <w:rFonts w:hint="eastAsia" w:ascii="仿宋" w:hAnsi="仿宋" w:eastAsia="仿宋" w:cs="仿宋"/>
          <w:sz w:val="28"/>
          <w:szCs w:val="28"/>
        </w:rPr>
        <w:t>年，龙岩市有色金属产业实现产值突破千亿元，达到</w:t>
      </w:r>
      <w:r>
        <w:rPr>
          <w:rFonts w:ascii="仿宋" w:hAnsi="仿宋" w:eastAsia="仿宋" w:cs="仿宋"/>
          <w:sz w:val="28"/>
          <w:szCs w:val="28"/>
        </w:rPr>
        <w:t>1073.4</w:t>
      </w:r>
      <w:r>
        <w:rPr>
          <w:rFonts w:hint="eastAsia" w:ascii="仿宋" w:hAnsi="仿宋" w:eastAsia="仿宋" w:cs="仿宋"/>
          <w:sz w:val="28"/>
          <w:szCs w:val="28"/>
        </w:rPr>
        <w:t>亿元，同比增长</w:t>
      </w:r>
      <w:r>
        <w:rPr>
          <w:rFonts w:ascii="仿宋" w:hAnsi="仿宋" w:eastAsia="仿宋" w:cs="仿宋"/>
          <w:sz w:val="28"/>
          <w:szCs w:val="28"/>
        </w:rPr>
        <w:t>17.9%</w:t>
      </w:r>
      <w:r>
        <w:rPr>
          <w:rFonts w:hint="eastAsia" w:ascii="仿宋" w:hAnsi="仿宋" w:eastAsia="仿宋" w:cs="仿宋"/>
          <w:sz w:val="28"/>
          <w:szCs w:val="28"/>
        </w:rPr>
        <w:t>，较</w:t>
      </w:r>
      <w:r>
        <w:rPr>
          <w:rFonts w:ascii="仿宋" w:hAnsi="仿宋" w:eastAsia="仿宋" w:cs="仿宋"/>
          <w:sz w:val="28"/>
          <w:szCs w:val="28"/>
        </w:rPr>
        <w:t>2016</w:t>
      </w:r>
      <w:r>
        <w:rPr>
          <w:rFonts w:hint="eastAsia" w:ascii="仿宋" w:hAnsi="仿宋" w:eastAsia="仿宋" w:cs="仿宋"/>
          <w:sz w:val="28"/>
          <w:szCs w:val="28"/>
        </w:rPr>
        <w:t>年增长</w:t>
      </w:r>
      <w:r>
        <w:rPr>
          <w:rFonts w:ascii="仿宋" w:hAnsi="仿宋" w:eastAsia="仿宋" w:cs="仿宋"/>
          <w:sz w:val="28"/>
          <w:szCs w:val="28"/>
        </w:rPr>
        <w:t>139.3%</w:t>
      </w:r>
      <w:r>
        <w:rPr>
          <w:rFonts w:hint="eastAsia" w:ascii="仿宋" w:hAnsi="仿宋" w:eastAsia="仿宋" w:cs="仿宋"/>
          <w:sz w:val="28"/>
          <w:szCs w:val="28"/>
        </w:rPr>
        <w:t>，其中：金铜产业实现产值</w:t>
      </w:r>
      <w:r>
        <w:rPr>
          <w:rFonts w:ascii="仿宋" w:hAnsi="仿宋" w:eastAsia="仿宋" w:cs="仿宋"/>
          <w:sz w:val="28"/>
          <w:szCs w:val="28"/>
        </w:rPr>
        <w:t>949</w:t>
      </w:r>
      <w:r>
        <w:rPr>
          <w:rFonts w:hint="eastAsia" w:ascii="仿宋" w:hAnsi="仿宋" w:eastAsia="仿宋" w:cs="仿宋"/>
          <w:sz w:val="28"/>
          <w:szCs w:val="28"/>
        </w:rPr>
        <w:t>亿元，同比增长</w:t>
      </w:r>
      <w:r>
        <w:rPr>
          <w:rFonts w:ascii="仿宋" w:hAnsi="仿宋" w:eastAsia="仿宋" w:cs="仿宋"/>
          <w:sz w:val="28"/>
          <w:szCs w:val="28"/>
        </w:rPr>
        <w:t>18.6%</w:t>
      </w:r>
      <w:r>
        <w:rPr>
          <w:rFonts w:hint="eastAsia" w:ascii="仿宋" w:hAnsi="仿宋" w:eastAsia="仿宋" w:cs="仿宋"/>
          <w:sz w:val="28"/>
          <w:szCs w:val="28"/>
        </w:rPr>
        <w:t>；稀土产业实现产值</w:t>
      </w:r>
      <w:r>
        <w:rPr>
          <w:rFonts w:ascii="仿宋" w:hAnsi="仿宋" w:eastAsia="仿宋" w:cs="仿宋"/>
          <w:sz w:val="28"/>
          <w:szCs w:val="28"/>
        </w:rPr>
        <w:t>124.4</w:t>
      </w:r>
      <w:r>
        <w:rPr>
          <w:rFonts w:hint="eastAsia" w:ascii="仿宋" w:hAnsi="仿宋" w:eastAsia="仿宋" w:cs="仿宋"/>
          <w:sz w:val="28"/>
          <w:szCs w:val="28"/>
        </w:rPr>
        <w:t>亿元，同比增长</w:t>
      </w:r>
      <w:r>
        <w:rPr>
          <w:rFonts w:ascii="仿宋" w:hAnsi="仿宋" w:eastAsia="仿宋" w:cs="仿宋"/>
          <w:sz w:val="28"/>
          <w:szCs w:val="28"/>
        </w:rPr>
        <w:t>3.4%</w:t>
      </w:r>
      <w:r>
        <w:rPr>
          <w:rFonts w:hint="eastAsia" w:ascii="仿宋" w:hAnsi="仿宋" w:eastAsia="仿宋" w:cs="仿宋"/>
          <w:sz w:val="28"/>
          <w:szCs w:val="28"/>
        </w:rPr>
        <w:t>。</w:t>
      </w:r>
    </w:p>
    <w:p>
      <w:pPr>
        <w:pStyle w:val="4"/>
        <w:spacing w:before="240" w:after="120" w:line="415" w:lineRule="auto"/>
        <w:rPr>
          <w:rFonts w:ascii="仿宋" w:hAnsi="仿宋" w:eastAsia="仿宋" w:cs="Times New Roman"/>
          <w:sz w:val="28"/>
          <w:szCs w:val="28"/>
        </w:rPr>
      </w:pPr>
      <w:bookmarkStart w:id="28" w:name="_Toc70684641"/>
      <w:r>
        <w:rPr>
          <w:rFonts w:ascii="仿宋" w:hAnsi="仿宋" w:eastAsia="仿宋" w:cs="仿宋"/>
          <w:sz w:val="28"/>
          <w:szCs w:val="28"/>
        </w:rPr>
        <w:t>1.</w:t>
      </w:r>
      <w:r>
        <w:rPr>
          <w:rFonts w:hint="eastAsia" w:ascii="仿宋" w:hAnsi="仿宋" w:eastAsia="仿宋" w:cs="仿宋"/>
          <w:sz w:val="28"/>
          <w:szCs w:val="28"/>
        </w:rPr>
        <w:t>铜产业发展现状</w:t>
      </w:r>
      <w:bookmarkEnd w:id="28"/>
    </w:p>
    <w:p>
      <w:pPr>
        <w:spacing w:line="560" w:lineRule="exact"/>
        <w:ind w:firstLine="31680" w:firstLineChars="200"/>
        <w:rPr>
          <w:rFonts w:ascii="仿宋" w:hAnsi="仿宋" w:eastAsia="仿宋" w:cs="Times New Roman"/>
          <w:sz w:val="28"/>
          <w:szCs w:val="28"/>
        </w:rPr>
      </w:pPr>
      <w:r>
        <w:rPr>
          <w:rFonts w:hint="eastAsia" w:ascii="仿宋" w:hAnsi="仿宋" w:eastAsia="仿宋" w:cs="仿宋"/>
          <w:sz w:val="28"/>
          <w:szCs w:val="28"/>
        </w:rPr>
        <w:t>龙岩市金铜产业几乎全部位于上杭县，是该县的支柱产业。以紫金山铜矿和紫金铜业有限公司为首的铜矿开发及冶炼，具备铜精矿含铜年产能</w:t>
      </w:r>
      <w:r>
        <w:rPr>
          <w:rFonts w:ascii="仿宋" w:hAnsi="仿宋" w:eastAsia="仿宋" w:cs="仿宋"/>
          <w:sz w:val="28"/>
          <w:szCs w:val="28"/>
        </w:rPr>
        <w:t>8</w:t>
      </w:r>
      <w:r>
        <w:rPr>
          <w:rFonts w:hint="eastAsia" w:ascii="仿宋" w:hAnsi="仿宋" w:eastAsia="仿宋" w:cs="仿宋"/>
          <w:sz w:val="28"/>
          <w:szCs w:val="28"/>
        </w:rPr>
        <w:t>万吨、阴极铜年产能</w:t>
      </w:r>
      <w:r>
        <w:rPr>
          <w:rFonts w:ascii="仿宋" w:hAnsi="仿宋" w:eastAsia="仿宋" w:cs="仿宋"/>
          <w:sz w:val="28"/>
          <w:szCs w:val="28"/>
        </w:rPr>
        <w:t>40</w:t>
      </w:r>
      <w:r>
        <w:rPr>
          <w:rFonts w:hint="eastAsia" w:ascii="仿宋" w:hAnsi="仿宋" w:eastAsia="仿宋" w:cs="仿宋"/>
          <w:sz w:val="28"/>
          <w:szCs w:val="28"/>
        </w:rPr>
        <w:t>万吨，是上杭县铜产业的发展基石，在此基础上延伸发展起来的铜加工产业以铜杆、铜板带、铜管、电解铜箔、铜排和铜棒等产品为主，合计产能超过</w:t>
      </w:r>
      <w:r>
        <w:rPr>
          <w:rFonts w:ascii="仿宋" w:hAnsi="仿宋" w:eastAsia="仿宋" w:cs="仿宋"/>
          <w:sz w:val="28"/>
          <w:szCs w:val="28"/>
        </w:rPr>
        <w:t>30</w:t>
      </w:r>
      <w:r>
        <w:rPr>
          <w:rFonts w:hint="eastAsia" w:ascii="仿宋" w:hAnsi="仿宋" w:eastAsia="仿宋" w:cs="仿宋"/>
          <w:sz w:val="28"/>
          <w:szCs w:val="28"/>
        </w:rPr>
        <w:t>万吨。同时，上杭县以上述铜加工产品为基础，进一步向下游延伸发展电线电缆、电源线、接插件、汽车线束、航空航天特种电缆、高端通讯线缆、卫浴水龙头、变压器等深加工产品和终端产品。主要企业铜企业包括紫金矿业集团、紫金铜业、上杭太阳铜业、上杭太阳电缆、福建紫金铜业、清景铜箔、龙岩鸿航卫浴、闽西天龙变压器、福建微波通通信等。</w:t>
      </w:r>
    </w:p>
    <w:p>
      <w:pPr>
        <w:spacing w:line="560" w:lineRule="exact"/>
        <w:ind w:firstLine="31680" w:firstLineChars="200"/>
        <w:rPr>
          <w:rFonts w:ascii="仿宋" w:hAnsi="仿宋" w:eastAsia="仿宋" w:cs="Times New Roman"/>
          <w:sz w:val="28"/>
          <w:szCs w:val="28"/>
        </w:rPr>
      </w:pPr>
      <w:r>
        <w:rPr>
          <w:rFonts w:hint="eastAsia" w:ascii="仿宋" w:hAnsi="仿宋" w:eastAsia="仿宋" w:cs="仿宋"/>
          <w:sz w:val="28"/>
          <w:szCs w:val="28"/>
        </w:rPr>
        <w:t>此外，通过对铜冶炼副产硫酸和相关固废的综合利用，上杭县的循环经济发展极具特色，形成了上杭县的循环经济产业链，其中瓮福紫金和泰山石膏（福建）等是磷化工产业的代表，主要产品包括净化磷酸、磷酸二铵、石膏板、水泥缓凝剂等；龙氟化工、瓮福蓝天等是氟化工产业的代表，主要产品包括无水氟化氢、氢氟酸、氟化铵、四氟化碳、有机氟等，对铜冶炼固体废物的综合利用主要生产水泥、三氧化二砷、铼酸铵等产品。此外，还进一步延伸发展电子级特种含氟气体、过硫酸盐、六氟磷酸锂、锂电池正负极材料、三元前驱体等新材料。初步形成了锂电池材料、含氟材料、电子化学材料等三大新材料细分产业。</w:t>
      </w:r>
    </w:p>
    <w:p>
      <w:pPr>
        <w:pStyle w:val="4"/>
        <w:spacing w:before="240" w:after="120" w:line="415" w:lineRule="auto"/>
        <w:rPr>
          <w:rFonts w:ascii="仿宋" w:hAnsi="仿宋" w:eastAsia="仿宋" w:cs="Times New Roman"/>
          <w:sz w:val="28"/>
          <w:szCs w:val="28"/>
        </w:rPr>
      </w:pPr>
      <w:bookmarkStart w:id="29" w:name="_Toc70684642"/>
      <w:r>
        <w:rPr>
          <w:rFonts w:ascii="仿宋" w:hAnsi="仿宋" w:eastAsia="仿宋" w:cs="仿宋"/>
          <w:sz w:val="28"/>
          <w:szCs w:val="28"/>
        </w:rPr>
        <w:t>2.</w:t>
      </w:r>
      <w:r>
        <w:rPr>
          <w:rFonts w:hint="eastAsia" w:ascii="仿宋" w:hAnsi="仿宋" w:eastAsia="仿宋" w:cs="仿宋"/>
          <w:sz w:val="28"/>
          <w:szCs w:val="28"/>
        </w:rPr>
        <w:t>金产业发展现状</w:t>
      </w:r>
      <w:bookmarkEnd w:id="29"/>
    </w:p>
    <w:p>
      <w:pPr>
        <w:spacing w:line="560" w:lineRule="exact"/>
        <w:ind w:firstLine="31680" w:firstLineChars="196"/>
        <w:rPr>
          <w:rFonts w:ascii="仿宋" w:hAnsi="仿宋" w:eastAsia="仿宋" w:cs="Times New Roman"/>
          <w:sz w:val="28"/>
          <w:szCs w:val="28"/>
        </w:rPr>
      </w:pPr>
      <w:r>
        <w:rPr>
          <w:rFonts w:hint="eastAsia" w:ascii="仿宋" w:hAnsi="仿宋" w:eastAsia="仿宋" w:cs="仿宋"/>
          <w:sz w:val="28"/>
          <w:szCs w:val="28"/>
        </w:rPr>
        <w:t>依托紫金山金矿资源，龙岩市黄金产业主要分布在上杭县，形成了以紫金矿业集团股份公司为龙头，以福建上杭工业园区、上杭县蛟洋工业区、上杭工业园区白砂新材料产业园等为生产基地和载体，以紫金国家重点实验室、紫金矿业集团公司国家认定企业技术中心等为支撑的发展格局，涵盖了矿山、冶炼、深加工全产业链。</w:t>
      </w:r>
    </w:p>
    <w:p>
      <w:pPr>
        <w:spacing w:line="560" w:lineRule="exact"/>
        <w:ind w:firstLine="31680" w:firstLineChars="196"/>
        <w:rPr>
          <w:rFonts w:ascii="仿宋" w:hAnsi="仿宋" w:eastAsia="仿宋" w:cs="Times New Roman"/>
          <w:sz w:val="28"/>
          <w:szCs w:val="28"/>
        </w:rPr>
      </w:pPr>
      <w:r>
        <w:rPr>
          <w:rFonts w:hint="eastAsia" w:ascii="仿宋" w:hAnsi="仿宋" w:eastAsia="仿宋" w:cs="仿宋"/>
          <w:sz w:val="28"/>
          <w:szCs w:val="28"/>
        </w:rPr>
        <w:t>龙岩市黄金白银等工业企业有</w:t>
      </w:r>
      <w:r>
        <w:rPr>
          <w:rFonts w:ascii="仿宋" w:hAnsi="仿宋" w:eastAsia="仿宋" w:cs="仿宋"/>
          <w:sz w:val="28"/>
          <w:szCs w:val="28"/>
        </w:rPr>
        <w:t>10</w:t>
      </w:r>
      <w:r>
        <w:rPr>
          <w:rFonts w:hint="eastAsia" w:ascii="仿宋" w:hAnsi="仿宋" w:eastAsia="仿宋" w:cs="仿宋"/>
          <w:sz w:val="28"/>
          <w:szCs w:val="28"/>
        </w:rPr>
        <w:t>家左右，具体分布看主要集中在上杭县</w:t>
      </w:r>
      <w:r>
        <w:rPr>
          <w:rFonts w:ascii="仿宋" w:hAnsi="仿宋" w:eastAsia="仿宋" w:cs="仿宋"/>
          <w:sz w:val="28"/>
          <w:szCs w:val="28"/>
        </w:rPr>
        <w:t>8</w:t>
      </w:r>
      <w:r>
        <w:rPr>
          <w:rFonts w:hint="eastAsia" w:ascii="仿宋" w:hAnsi="仿宋" w:eastAsia="仿宋" w:cs="仿宋"/>
          <w:sz w:val="28"/>
          <w:szCs w:val="28"/>
        </w:rPr>
        <w:t>家，其它区县有</w:t>
      </w:r>
      <w:r>
        <w:rPr>
          <w:rFonts w:ascii="仿宋" w:hAnsi="仿宋" w:eastAsia="仿宋" w:cs="仿宋"/>
          <w:sz w:val="28"/>
          <w:szCs w:val="28"/>
        </w:rPr>
        <w:t>2</w:t>
      </w:r>
      <w:r>
        <w:rPr>
          <w:rFonts w:hint="eastAsia" w:ascii="仿宋" w:hAnsi="仿宋" w:eastAsia="仿宋" w:cs="仿宋"/>
          <w:sz w:val="28"/>
          <w:szCs w:val="28"/>
        </w:rPr>
        <w:t>家企业（武平紫金矿业有限公司、武平县三鑫矿业开发有限公司）。其中，黄金上游矿业产业企业有：紫金矿业集团股份有限公司（紫金山金铜矿）；中游冶炼精炼产业企业有：紫金铜业有限公司、紫金矿业集团黄金冶炼有限公司；下游加工产业企业有：福建紫金贵金属材料有限公司、上杭县紫金佳博电子新材料科技有限公司、上杭紫金恒星珠宝有限公司、福建紫盈珠宝发展有限公司、恒星珠宝产销合作项目等。</w:t>
      </w:r>
    </w:p>
    <w:p>
      <w:pPr>
        <w:pStyle w:val="4"/>
        <w:spacing w:before="240" w:after="120" w:line="415" w:lineRule="auto"/>
        <w:rPr>
          <w:rFonts w:ascii="仿宋" w:hAnsi="仿宋" w:eastAsia="仿宋" w:cs="Times New Roman"/>
          <w:sz w:val="28"/>
          <w:szCs w:val="28"/>
        </w:rPr>
      </w:pPr>
      <w:bookmarkStart w:id="30" w:name="_Toc70684643"/>
      <w:r>
        <w:rPr>
          <w:rFonts w:ascii="仿宋" w:hAnsi="仿宋" w:eastAsia="仿宋" w:cs="仿宋"/>
          <w:sz w:val="28"/>
          <w:szCs w:val="28"/>
        </w:rPr>
        <w:t>3.</w:t>
      </w:r>
      <w:r>
        <w:rPr>
          <w:rFonts w:hint="eastAsia" w:ascii="仿宋" w:hAnsi="仿宋" w:eastAsia="仿宋" w:cs="仿宋"/>
          <w:sz w:val="28"/>
          <w:szCs w:val="28"/>
        </w:rPr>
        <w:t>稀土产业发展现状</w:t>
      </w:r>
      <w:bookmarkEnd w:id="30"/>
    </w:p>
    <w:p>
      <w:pPr>
        <w:spacing w:line="560" w:lineRule="exact"/>
        <w:ind w:firstLine="31680" w:firstLineChars="196"/>
        <w:rPr>
          <w:rFonts w:ascii="仿宋" w:hAnsi="仿宋" w:eastAsia="仿宋" w:cs="Times New Roman"/>
          <w:sz w:val="28"/>
          <w:szCs w:val="28"/>
        </w:rPr>
      </w:pPr>
      <w:r>
        <w:rPr>
          <w:rFonts w:hint="eastAsia" w:ascii="仿宋" w:hAnsi="仿宋" w:eastAsia="仿宋" w:cs="仿宋"/>
          <w:sz w:val="28"/>
          <w:szCs w:val="28"/>
        </w:rPr>
        <w:t>福建是国内重要的离子型稀土资源省份，龙岩市稀土资源占福建全省一半以上。龙岩市以稀土资源为基础，发展各类与之相关的新材料产业和下游零部件及终端特色产业，成为其促进产业结构优化，经济健康增长的主导产业。</w:t>
      </w:r>
    </w:p>
    <w:p>
      <w:pPr>
        <w:spacing w:line="560" w:lineRule="exact"/>
        <w:ind w:firstLine="31680" w:firstLineChars="196"/>
        <w:rPr>
          <w:rFonts w:ascii="仿宋" w:hAnsi="仿宋" w:eastAsia="仿宋" w:cs="Times New Roman"/>
          <w:sz w:val="28"/>
          <w:szCs w:val="28"/>
        </w:rPr>
      </w:pPr>
      <w:r>
        <w:rPr>
          <w:rFonts w:hint="eastAsia" w:ascii="仿宋" w:hAnsi="仿宋" w:eastAsia="仿宋" w:cs="仿宋"/>
          <w:sz w:val="28"/>
          <w:szCs w:val="28"/>
        </w:rPr>
        <w:t>目前，龙岩市对全市稀土资源开发实行统一规划、统一开采、统一价格、统一收购、统一分配“五统一”管理，建立了“以精深加工为导向，政府主导控制资源，多县产矿、集中分离，利益共享”的资源管理机制，由龙岩市稀土开发公司及其县级子公司对全市稀土资源进行统一开发。全市稀土保有资源储量约</w:t>
      </w:r>
      <w:r>
        <w:rPr>
          <w:rFonts w:ascii="仿宋" w:hAnsi="仿宋" w:eastAsia="仿宋" w:cs="仿宋"/>
          <w:sz w:val="28"/>
          <w:szCs w:val="28"/>
        </w:rPr>
        <w:t>36</w:t>
      </w:r>
      <w:r>
        <w:rPr>
          <w:rFonts w:hint="eastAsia" w:ascii="仿宋" w:hAnsi="仿宋" w:eastAsia="仿宋" w:cs="仿宋"/>
          <w:sz w:val="28"/>
          <w:szCs w:val="28"/>
        </w:rPr>
        <w:t>万吨（稀土氧化物），拥有</w:t>
      </w:r>
      <w:r>
        <w:rPr>
          <w:rFonts w:ascii="仿宋" w:hAnsi="仿宋" w:eastAsia="仿宋" w:cs="仿宋"/>
          <w:sz w:val="28"/>
          <w:szCs w:val="28"/>
        </w:rPr>
        <w:t>5</w:t>
      </w:r>
      <w:r>
        <w:rPr>
          <w:rFonts w:hint="eastAsia" w:ascii="仿宋" w:hAnsi="仿宋" w:eastAsia="仿宋" w:cs="仿宋"/>
          <w:sz w:val="28"/>
          <w:szCs w:val="28"/>
        </w:rPr>
        <w:t>本稀土采矿证，正在办理</w:t>
      </w:r>
      <w:r>
        <w:rPr>
          <w:rFonts w:ascii="仿宋" w:hAnsi="仿宋" w:eastAsia="仿宋" w:cs="仿宋"/>
          <w:sz w:val="28"/>
          <w:szCs w:val="28"/>
        </w:rPr>
        <w:t>2</w:t>
      </w:r>
      <w:r>
        <w:rPr>
          <w:rFonts w:hint="eastAsia" w:ascii="仿宋" w:hAnsi="仿宋" w:eastAsia="仿宋" w:cs="仿宋"/>
          <w:sz w:val="28"/>
          <w:szCs w:val="28"/>
        </w:rPr>
        <w:t>本新证。</w:t>
      </w:r>
    </w:p>
    <w:p>
      <w:pPr>
        <w:spacing w:line="560" w:lineRule="exact"/>
        <w:ind w:firstLine="31680" w:firstLineChars="196"/>
        <w:rPr>
          <w:rFonts w:ascii="仿宋" w:hAnsi="仿宋" w:eastAsia="仿宋" w:cs="Times New Roman"/>
          <w:sz w:val="28"/>
          <w:szCs w:val="28"/>
        </w:rPr>
      </w:pPr>
      <w:r>
        <w:rPr>
          <w:rFonts w:hint="eastAsia" w:ascii="仿宋" w:hAnsi="仿宋" w:eastAsia="仿宋" w:cs="仿宋"/>
          <w:sz w:val="28"/>
          <w:szCs w:val="28"/>
        </w:rPr>
        <w:t>当前，龙岩市已经形成稀土分离</w:t>
      </w:r>
      <w:r>
        <w:rPr>
          <w:rFonts w:ascii="仿宋" w:hAnsi="仿宋" w:eastAsia="仿宋" w:cs="仿宋"/>
          <w:sz w:val="28"/>
          <w:szCs w:val="28"/>
        </w:rPr>
        <w:t>5000</w:t>
      </w:r>
      <w:r>
        <w:rPr>
          <w:rFonts w:hint="eastAsia" w:ascii="仿宋" w:hAnsi="仿宋" w:eastAsia="仿宋" w:cs="仿宋"/>
          <w:sz w:val="28"/>
          <w:szCs w:val="28"/>
        </w:rPr>
        <w:t>吨</w:t>
      </w:r>
      <w:r>
        <w:rPr>
          <w:rFonts w:ascii="仿宋" w:hAnsi="仿宋" w:eastAsia="仿宋" w:cs="仿宋"/>
          <w:sz w:val="28"/>
          <w:szCs w:val="28"/>
        </w:rPr>
        <w:t>/</w:t>
      </w:r>
      <w:r>
        <w:rPr>
          <w:rFonts w:hint="eastAsia" w:ascii="仿宋" w:hAnsi="仿宋" w:eastAsia="仿宋" w:cs="仿宋"/>
          <w:sz w:val="28"/>
          <w:szCs w:val="28"/>
        </w:rPr>
        <w:t>年、稀土特种金属及合金项目</w:t>
      </w:r>
      <w:r>
        <w:rPr>
          <w:rFonts w:ascii="仿宋" w:hAnsi="仿宋" w:eastAsia="仿宋" w:cs="仿宋"/>
          <w:sz w:val="28"/>
          <w:szCs w:val="28"/>
        </w:rPr>
        <w:t>6000</w:t>
      </w:r>
      <w:r>
        <w:rPr>
          <w:rFonts w:hint="eastAsia" w:ascii="仿宋" w:hAnsi="仿宋" w:eastAsia="仿宋" w:cs="仿宋"/>
          <w:sz w:val="28"/>
          <w:szCs w:val="28"/>
        </w:rPr>
        <w:t>吨</w:t>
      </w:r>
      <w:r>
        <w:rPr>
          <w:rFonts w:ascii="仿宋" w:hAnsi="仿宋" w:eastAsia="仿宋" w:cs="仿宋"/>
          <w:sz w:val="28"/>
          <w:szCs w:val="28"/>
        </w:rPr>
        <w:t>/</w:t>
      </w:r>
      <w:r>
        <w:rPr>
          <w:rFonts w:hint="eastAsia" w:ascii="仿宋" w:hAnsi="仿宋" w:eastAsia="仿宋" w:cs="仿宋"/>
          <w:sz w:val="28"/>
          <w:szCs w:val="28"/>
        </w:rPr>
        <w:t>年、磁性材料</w:t>
      </w:r>
      <w:r>
        <w:rPr>
          <w:rFonts w:ascii="仿宋" w:hAnsi="仿宋" w:eastAsia="仿宋" w:cs="仿宋"/>
          <w:sz w:val="28"/>
          <w:szCs w:val="28"/>
        </w:rPr>
        <w:t>9000</w:t>
      </w:r>
      <w:r>
        <w:rPr>
          <w:rFonts w:hint="eastAsia" w:ascii="仿宋" w:hAnsi="仿宋" w:eastAsia="仿宋" w:cs="仿宋"/>
          <w:sz w:val="28"/>
          <w:szCs w:val="28"/>
        </w:rPr>
        <w:t>吨</w:t>
      </w:r>
      <w:r>
        <w:rPr>
          <w:rFonts w:ascii="仿宋" w:hAnsi="仿宋" w:eastAsia="仿宋" w:cs="仿宋"/>
          <w:sz w:val="28"/>
          <w:szCs w:val="28"/>
        </w:rPr>
        <w:t>/</w:t>
      </w:r>
      <w:r>
        <w:rPr>
          <w:rFonts w:hint="eastAsia" w:ascii="仿宋" w:hAnsi="仿宋" w:eastAsia="仿宋" w:cs="仿宋"/>
          <w:sz w:val="28"/>
          <w:szCs w:val="28"/>
        </w:rPr>
        <w:t>年，磁性材料配套表面处理生产线</w:t>
      </w:r>
      <w:r>
        <w:rPr>
          <w:rFonts w:ascii="仿宋" w:hAnsi="仿宋" w:eastAsia="仿宋" w:cs="仿宋"/>
          <w:sz w:val="28"/>
          <w:szCs w:val="28"/>
        </w:rPr>
        <w:t>2500</w:t>
      </w:r>
      <w:r>
        <w:rPr>
          <w:rFonts w:hint="eastAsia" w:ascii="仿宋" w:hAnsi="仿宋" w:eastAsia="仿宋" w:cs="仿宋"/>
          <w:sz w:val="28"/>
          <w:szCs w:val="28"/>
        </w:rPr>
        <w:t>吨</w:t>
      </w:r>
      <w:r>
        <w:rPr>
          <w:rFonts w:ascii="仿宋" w:hAnsi="仿宋" w:eastAsia="仿宋" w:cs="仿宋"/>
          <w:sz w:val="28"/>
          <w:szCs w:val="28"/>
        </w:rPr>
        <w:t>/</w:t>
      </w:r>
      <w:r>
        <w:rPr>
          <w:rFonts w:hint="eastAsia" w:ascii="仿宋" w:hAnsi="仿宋" w:eastAsia="仿宋" w:cs="仿宋"/>
          <w:sz w:val="28"/>
          <w:szCs w:val="28"/>
        </w:rPr>
        <w:t>年的生产能力。初步具备“矿山开采</w:t>
      </w:r>
      <w:r>
        <w:rPr>
          <w:rFonts w:ascii="仿宋" w:hAnsi="仿宋" w:eastAsia="仿宋" w:cs="仿宋"/>
          <w:sz w:val="28"/>
          <w:szCs w:val="28"/>
        </w:rPr>
        <w:t>—</w:t>
      </w:r>
      <w:r>
        <w:rPr>
          <w:rFonts w:hint="eastAsia" w:ascii="仿宋" w:hAnsi="仿宋" w:eastAsia="仿宋" w:cs="仿宋"/>
          <w:sz w:val="28"/>
          <w:szCs w:val="28"/>
        </w:rPr>
        <w:t>分离冶炼</w:t>
      </w:r>
      <w:r>
        <w:rPr>
          <w:rFonts w:ascii="仿宋" w:hAnsi="仿宋" w:eastAsia="仿宋" w:cs="仿宋"/>
          <w:sz w:val="28"/>
          <w:szCs w:val="28"/>
        </w:rPr>
        <w:t>—</w:t>
      </w:r>
      <w:r>
        <w:rPr>
          <w:rFonts w:hint="eastAsia" w:ascii="仿宋" w:hAnsi="仿宋" w:eastAsia="仿宋" w:cs="仿宋"/>
          <w:sz w:val="28"/>
          <w:szCs w:val="28"/>
        </w:rPr>
        <w:t>金属及合金</w:t>
      </w:r>
      <w:r>
        <w:rPr>
          <w:rFonts w:ascii="仿宋" w:hAnsi="仿宋" w:eastAsia="仿宋" w:cs="仿宋"/>
          <w:sz w:val="28"/>
          <w:szCs w:val="28"/>
        </w:rPr>
        <w:t>—</w:t>
      </w:r>
      <w:r>
        <w:rPr>
          <w:rFonts w:hint="eastAsia" w:ascii="仿宋" w:hAnsi="仿宋" w:eastAsia="仿宋" w:cs="仿宋"/>
          <w:sz w:val="28"/>
          <w:szCs w:val="28"/>
        </w:rPr>
        <w:t>稀土功能材料</w:t>
      </w:r>
      <w:r>
        <w:rPr>
          <w:rFonts w:ascii="仿宋" w:hAnsi="仿宋" w:eastAsia="仿宋" w:cs="仿宋"/>
          <w:sz w:val="28"/>
          <w:szCs w:val="28"/>
        </w:rPr>
        <w:t>—</w:t>
      </w:r>
      <w:r>
        <w:rPr>
          <w:rFonts w:hint="eastAsia" w:ascii="仿宋" w:hAnsi="仿宋" w:eastAsia="仿宋" w:cs="仿宋"/>
          <w:sz w:val="28"/>
          <w:szCs w:val="28"/>
        </w:rPr>
        <w:t>稀土应用器件”较为完整的产业体系，产业规模效益和集聚效应明显，但产业溢出和拉动效应较弱。</w:t>
      </w:r>
    </w:p>
    <w:p>
      <w:pPr>
        <w:spacing w:line="560" w:lineRule="exact"/>
        <w:ind w:firstLine="31680" w:firstLineChars="196"/>
        <w:rPr>
          <w:rFonts w:ascii="仿宋" w:hAnsi="仿宋" w:eastAsia="仿宋" w:cs="Times New Roman"/>
          <w:sz w:val="28"/>
          <w:szCs w:val="28"/>
        </w:rPr>
      </w:pPr>
      <w:r>
        <w:rPr>
          <w:rFonts w:hint="eastAsia" w:ascii="仿宋" w:hAnsi="仿宋" w:eastAsia="仿宋" w:cs="仿宋"/>
          <w:sz w:val="28"/>
          <w:szCs w:val="28"/>
        </w:rPr>
        <w:t>龙岩市稀土产业主要集中于福建（龙岩）稀土工业园区，该园区是</w:t>
      </w:r>
      <w:r>
        <w:rPr>
          <w:rFonts w:ascii="仿宋" w:hAnsi="仿宋" w:eastAsia="仿宋" w:cs="仿宋"/>
          <w:sz w:val="28"/>
          <w:szCs w:val="28"/>
        </w:rPr>
        <w:t>2010</w:t>
      </w:r>
      <w:r>
        <w:rPr>
          <w:rFonts w:hint="eastAsia" w:ascii="仿宋" w:hAnsi="仿宋" w:eastAsia="仿宋" w:cs="仿宋"/>
          <w:sz w:val="28"/>
          <w:szCs w:val="28"/>
        </w:rPr>
        <w:t>年由龙岩市、长汀县、厦门钨业按比例投资兴建，规划总面积</w:t>
      </w:r>
      <w:r>
        <w:rPr>
          <w:rFonts w:ascii="仿宋" w:hAnsi="仿宋" w:eastAsia="仿宋" w:cs="仿宋"/>
          <w:sz w:val="28"/>
          <w:szCs w:val="28"/>
        </w:rPr>
        <w:t>12.82</w:t>
      </w:r>
      <w:r>
        <w:rPr>
          <w:rFonts w:hint="eastAsia" w:ascii="仿宋" w:hAnsi="仿宋" w:eastAsia="仿宋" w:cs="仿宋"/>
          <w:sz w:val="28"/>
          <w:szCs w:val="28"/>
        </w:rPr>
        <w:t>平方公里，建设用地面积</w:t>
      </w:r>
      <w:r>
        <w:rPr>
          <w:rFonts w:ascii="仿宋" w:hAnsi="仿宋" w:eastAsia="仿宋" w:cs="仿宋"/>
          <w:sz w:val="28"/>
          <w:szCs w:val="28"/>
        </w:rPr>
        <w:t>7.98</w:t>
      </w:r>
      <w:r>
        <w:rPr>
          <w:rFonts w:hint="eastAsia" w:ascii="仿宋" w:hAnsi="仿宋" w:eastAsia="仿宋" w:cs="仿宋"/>
          <w:sz w:val="28"/>
          <w:szCs w:val="28"/>
        </w:rPr>
        <w:t>平方公里，</w:t>
      </w:r>
      <w:r>
        <w:rPr>
          <w:rFonts w:ascii="仿宋" w:hAnsi="仿宋" w:eastAsia="仿宋" w:cs="仿宋"/>
          <w:sz w:val="28"/>
          <w:szCs w:val="28"/>
        </w:rPr>
        <w:t>2020</w:t>
      </w:r>
      <w:r>
        <w:rPr>
          <w:rFonts w:hint="eastAsia" w:ascii="仿宋" w:hAnsi="仿宋" w:eastAsia="仿宋" w:cs="仿宋"/>
          <w:sz w:val="28"/>
          <w:szCs w:val="28"/>
        </w:rPr>
        <w:t>年稀土工业园区被评为省级绿色园区、省级循环经济示范试点园区。近年来，园区按照“绿色、科技、人文、创新”的高标准国际化工业园区定位，打造“三个基地”（全国稀土产业示范基地、全国军民融合产业示范基地、全国新型工业化产业示范基地）和创建“三个园区”（国家高新技术产业园区、国家循环经济示范园区、国家绿色示范园区）。</w:t>
      </w:r>
    </w:p>
    <w:p>
      <w:pPr>
        <w:ind w:firstLine="560"/>
        <w:rPr>
          <w:rFonts w:ascii="仿宋" w:hAnsi="仿宋" w:eastAsia="仿宋" w:cs="Times New Roman"/>
          <w:sz w:val="28"/>
          <w:szCs w:val="28"/>
        </w:rPr>
      </w:pPr>
      <w:r>
        <w:rPr>
          <w:rFonts w:hint="eastAsia" w:ascii="仿宋" w:hAnsi="仿宋" w:eastAsia="仿宋" w:cs="仿宋"/>
          <w:spacing w:val="-2"/>
          <w:sz w:val="28"/>
          <w:szCs w:val="28"/>
        </w:rPr>
        <w:t>龙岩现有稀土产业企业</w:t>
      </w:r>
      <w:r>
        <w:rPr>
          <w:rFonts w:ascii="仿宋" w:hAnsi="仿宋" w:eastAsia="仿宋" w:cs="仿宋"/>
          <w:spacing w:val="-2"/>
          <w:sz w:val="28"/>
          <w:szCs w:val="28"/>
        </w:rPr>
        <w:t>13</w:t>
      </w:r>
      <w:r>
        <w:rPr>
          <w:rFonts w:hint="eastAsia" w:ascii="仿宋" w:hAnsi="仿宋" w:eastAsia="仿宋" w:cs="仿宋"/>
          <w:spacing w:val="-2"/>
          <w:sz w:val="28"/>
          <w:szCs w:val="28"/>
        </w:rPr>
        <w:t>家，包括开采企业</w:t>
      </w:r>
      <w:r>
        <w:rPr>
          <w:rFonts w:ascii="仿宋" w:hAnsi="仿宋" w:eastAsia="仿宋" w:cs="仿宋"/>
          <w:spacing w:val="-2"/>
          <w:sz w:val="28"/>
          <w:szCs w:val="28"/>
        </w:rPr>
        <w:t>1</w:t>
      </w:r>
      <w:r>
        <w:rPr>
          <w:rFonts w:hint="eastAsia" w:ascii="仿宋" w:hAnsi="仿宋" w:eastAsia="仿宋" w:cs="仿宋"/>
          <w:spacing w:val="-2"/>
          <w:sz w:val="28"/>
          <w:szCs w:val="28"/>
        </w:rPr>
        <w:t>家、下游深加工企业</w:t>
      </w:r>
      <w:r>
        <w:rPr>
          <w:rFonts w:ascii="仿宋" w:hAnsi="仿宋" w:eastAsia="仿宋" w:cs="仿宋"/>
          <w:spacing w:val="-2"/>
          <w:sz w:val="28"/>
          <w:szCs w:val="28"/>
        </w:rPr>
        <w:t>11</w:t>
      </w:r>
      <w:r>
        <w:rPr>
          <w:rFonts w:hint="eastAsia" w:ascii="仿宋" w:hAnsi="仿宋" w:eastAsia="仿宋" w:cs="仿宋"/>
          <w:spacing w:val="-2"/>
          <w:sz w:val="28"/>
          <w:szCs w:val="28"/>
        </w:rPr>
        <w:t>家、产业配套企业</w:t>
      </w:r>
      <w:r>
        <w:rPr>
          <w:rFonts w:ascii="仿宋" w:hAnsi="仿宋" w:eastAsia="仿宋" w:cs="仿宋"/>
          <w:spacing w:val="-2"/>
          <w:sz w:val="28"/>
          <w:szCs w:val="28"/>
        </w:rPr>
        <w:t>1</w:t>
      </w:r>
      <w:r>
        <w:rPr>
          <w:rFonts w:hint="eastAsia" w:ascii="仿宋" w:hAnsi="仿宋" w:eastAsia="仿宋" w:cs="仿宋"/>
          <w:spacing w:val="-2"/>
          <w:sz w:val="28"/>
          <w:szCs w:val="28"/>
        </w:rPr>
        <w:t>家，规模以上企业主要有金龙稀土、信越科技、赤铕稀土、雷生科技、卓尔科技、比路电子、鸣友新材料等。其中，长汀金龙稀土有限公司是厦门钨业股份有限公司全资子公司，福建省稀土产业龙头企业，主要从事稀土分离、稀土精深加工以及稀土功能材料的研发与应用。公司占地</w:t>
      </w:r>
      <w:r>
        <w:rPr>
          <w:rFonts w:ascii="仿宋" w:hAnsi="仿宋" w:eastAsia="仿宋" w:cs="仿宋"/>
          <w:spacing w:val="-2"/>
          <w:sz w:val="28"/>
          <w:szCs w:val="28"/>
        </w:rPr>
        <w:t>800</w:t>
      </w:r>
      <w:r>
        <w:rPr>
          <w:rFonts w:hint="eastAsia" w:ascii="仿宋" w:hAnsi="仿宋" w:eastAsia="仿宋" w:cs="仿宋"/>
          <w:spacing w:val="-2"/>
          <w:sz w:val="28"/>
          <w:szCs w:val="28"/>
        </w:rPr>
        <w:t>亩，厂房建筑面积</w:t>
      </w:r>
      <w:r>
        <w:rPr>
          <w:rFonts w:ascii="仿宋" w:hAnsi="仿宋" w:eastAsia="仿宋" w:cs="仿宋"/>
          <w:spacing w:val="-2"/>
          <w:sz w:val="28"/>
          <w:szCs w:val="28"/>
        </w:rPr>
        <w:t>20</w:t>
      </w:r>
      <w:r>
        <w:rPr>
          <w:rFonts w:hint="eastAsia" w:ascii="仿宋" w:hAnsi="仿宋" w:eastAsia="仿宋" w:cs="仿宋"/>
          <w:spacing w:val="-2"/>
          <w:sz w:val="28"/>
          <w:szCs w:val="28"/>
        </w:rPr>
        <w:t>万平方米，总投资</w:t>
      </w:r>
      <w:r>
        <w:rPr>
          <w:rFonts w:ascii="仿宋" w:hAnsi="仿宋" w:eastAsia="仿宋" w:cs="仿宋"/>
          <w:spacing w:val="-2"/>
          <w:sz w:val="28"/>
          <w:szCs w:val="28"/>
        </w:rPr>
        <w:t>40</w:t>
      </w:r>
      <w:r>
        <w:rPr>
          <w:rFonts w:hint="eastAsia" w:ascii="仿宋" w:hAnsi="仿宋" w:eastAsia="仿宋" w:cs="仿宋"/>
          <w:spacing w:val="-2"/>
          <w:sz w:val="28"/>
          <w:szCs w:val="28"/>
        </w:rPr>
        <w:t>亿元，目前已建成</w:t>
      </w:r>
      <w:r>
        <w:rPr>
          <w:rFonts w:ascii="仿宋" w:hAnsi="仿宋" w:eastAsia="仿宋" w:cs="仿宋"/>
          <w:spacing w:val="-2"/>
          <w:sz w:val="28"/>
          <w:szCs w:val="28"/>
        </w:rPr>
        <w:t>5000</w:t>
      </w:r>
      <w:r>
        <w:rPr>
          <w:rFonts w:hint="eastAsia" w:ascii="仿宋" w:hAnsi="仿宋" w:eastAsia="仿宋" w:cs="仿宋"/>
          <w:spacing w:val="-2"/>
          <w:sz w:val="28"/>
          <w:szCs w:val="28"/>
        </w:rPr>
        <w:t>吨稀土分离、</w:t>
      </w:r>
      <w:r>
        <w:rPr>
          <w:rFonts w:ascii="仿宋" w:hAnsi="仿宋" w:eastAsia="仿宋" w:cs="仿宋"/>
          <w:spacing w:val="-2"/>
          <w:sz w:val="28"/>
          <w:szCs w:val="28"/>
        </w:rPr>
        <w:t>3000</w:t>
      </w:r>
      <w:r>
        <w:rPr>
          <w:rFonts w:hint="eastAsia" w:ascii="仿宋" w:hAnsi="仿宋" w:eastAsia="仿宋" w:cs="仿宋"/>
          <w:spacing w:val="-2"/>
          <w:sz w:val="28"/>
          <w:szCs w:val="28"/>
        </w:rPr>
        <w:t>吨稀土金属、</w:t>
      </w:r>
      <w:r>
        <w:rPr>
          <w:rFonts w:ascii="仿宋" w:hAnsi="仿宋" w:eastAsia="仿宋" w:cs="仿宋"/>
          <w:spacing w:val="-2"/>
          <w:sz w:val="28"/>
          <w:szCs w:val="28"/>
        </w:rPr>
        <w:t>2000</w:t>
      </w:r>
      <w:r>
        <w:rPr>
          <w:rFonts w:hint="eastAsia" w:ascii="仿宋" w:hAnsi="仿宋" w:eastAsia="仿宋" w:cs="仿宋"/>
          <w:spacing w:val="-2"/>
          <w:sz w:val="28"/>
          <w:szCs w:val="28"/>
        </w:rPr>
        <w:t>吨高纯稀土氧化物、</w:t>
      </w:r>
      <w:r>
        <w:rPr>
          <w:rFonts w:ascii="仿宋" w:hAnsi="仿宋" w:eastAsia="仿宋" w:cs="仿宋"/>
          <w:spacing w:val="-2"/>
          <w:sz w:val="28"/>
          <w:szCs w:val="28"/>
        </w:rPr>
        <w:t>1300</w:t>
      </w:r>
      <w:r>
        <w:rPr>
          <w:rFonts w:hint="eastAsia" w:ascii="仿宋" w:hAnsi="仿宋" w:eastAsia="仿宋" w:cs="仿宋"/>
          <w:spacing w:val="-2"/>
          <w:sz w:val="28"/>
          <w:szCs w:val="28"/>
        </w:rPr>
        <w:t>吨三基色荧光粉、</w:t>
      </w:r>
      <w:r>
        <w:rPr>
          <w:rFonts w:ascii="仿宋" w:hAnsi="仿宋" w:eastAsia="仿宋" w:cs="仿宋"/>
          <w:spacing w:val="-2"/>
          <w:sz w:val="28"/>
          <w:szCs w:val="28"/>
        </w:rPr>
        <w:t>6000</w:t>
      </w:r>
      <w:r>
        <w:rPr>
          <w:rFonts w:hint="eastAsia" w:ascii="仿宋" w:hAnsi="仿宋" w:eastAsia="仿宋" w:cs="仿宋"/>
          <w:spacing w:val="-2"/>
          <w:sz w:val="28"/>
          <w:szCs w:val="28"/>
        </w:rPr>
        <w:t>吨钕铁硼磁性材料、</w:t>
      </w:r>
      <w:r>
        <w:rPr>
          <w:rFonts w:ascii="仿宋" w:hAnsi="仿宋" w:eastAsia="仿宋" w:cs="仿宋"/>
          <w:spacing w:val="-2"/>
          <w:sz w:val="28"/>
          <w:szCs w:val="28"/>
        </w:rPr>
        <w:t>2500</w:t>
      </w:r>
      <w:r>
        <w:rPr>
          <w:rFonts w:hint="eastAsia" w:ascii="仿宋" w:hAnsi="仿宋" w:eastAsia="仿宋" w:cs="仿宋"/>
          <w:spacing w:val="-2"/>
          <w:sz w:val="28"/>
          <w:szCs w:val="28"/>
        </w:rPr>
        <w:t>吨钕铁硼表面处理生产线</w:t>
      </w:r>
      <w:r>
        <w:rPr>
          <w:rFonts w:hint="eastAsia" w:ascii="仿宋" w:hAnsi="仿宋" w:eastAsia="仿宋" w:cs="仿宋"/>
          <w:sz w:val="28"/>
          <w:szCs w:val="28"/>
        </w:rPr>
        <w:t>。</w:t>
      </w:r>
    </w:p>
    <w:p>
      <w:pPr>
        <w:ind w:firstLine="560"/>
        <w:rPr>
          <w:rFonts w:ascii="仿宋" w:hAnsi="仿宋" w:eastAsia="仿宋" w:cs="Times New Roman"/>
          <w:sz w:val="28"/>
          <w:szCs w:val="28"/>
        </w:rPr>
      </w:pPr>
      <w:r>
        <w:rPr>
          <w:rFonts w:hint="eastAsia" w:ascii="仿宋" w:hAnsi="仿宋" w:eastAsia="仿宋" w:cs="仿宋"/>
          <w:sz w:val="28"/>
          <w:szCs w:val="28"/>
        </w:rPr>
        <w:t>在主要企业之外，还有一些前景较好的稀土下游应用项目，例如，福建（龙岩）稀土工业园区成功引进并落地一家激光晶体材料制作加工项目。以激光晶体材料为基础发展起来的光电子技术，不仅广泛应用于军事领域，而且在国民经济的许多领域，如光通讯、医疗、材料加工（切割、焊接、打孔、热处理等）、信息储存、科研、检测和防伪等方面获得广泛的应用。</w:t>
      </w:r>
    </w:p>
    <w:p>
      <w:pPr>
        <w:pStyle w:val="4"/>
        <w:spacing w:before="240" w:after="120" w:line="415" w:lineRule="auto"/>
        <w:rPr>
          <w:rFonts w:ascii="仿宋" w:hAnsi="仿宋" w:eastAsia="仿宋" w:cs="Times New Roman"/>
          <w:sz w:val="28"/>
          <w:szCs w:val="28"/>
        </w:rPr>
      </w:pPr>
      <w:bookmarkStart w:id="31" w:name="_Toc70684644"/>
      <w:r>
        <w:rPr>
          <w:rFonts w:ascii="仿宋" w:hAnsi="仿宋" w:eastAsia="仿宋" w:cs="仿宋"/>
          <w:sz w:val="28"/>
          <w:szCs w:val="28"/>
        </w:rPr>
        <w:t>4.</w:t>
      </w:r>
      <w:r>
        <w:rPr>
          <w:rFonts w:hint="eastAsia" w:ascii="仿宋" w:hAnsi="仿宋" w:eastAsia="仿宋" w:cs="仿宋"/>
          <w:sz w:val="28"/>
          <w:szCs w:val="28"/>
        </w:rPr>
        <w:t>钨产业发展现状</w:t>
      </w:r>
      <w:bookmarkEnd w:id="31"/>
    </w:p>
    <w:p>
      <w:pPr>
        <w:spacing w:line="560" w:lineRule="exact"/>
        <w:ind w:firstLine="31680" w:firstLineChars="196"/>
        <w:rPr>
          <w:rFonts w:ascii="仿宋" w:hAnsi="仿宋" w:eastAsia="仿宋" w:cs="Times New Roman"/>
          <w:sz w:val="28"/>
          <w:szCs w:val="28"/>
        </w:rPr>
      </w:pPr>
      <w:r>
        <w:rPr>
          <w:rFonts w:hint="eastAsia" w:ascii="仿宋" w:hAnsi="仿宋" w:eastAsia="仿宋" w:cs="仿宋"/>
          <w:sz w:val="28"/>
          <w:szCs w:val="28"/>
        </w:rPr>
        <w:t>龙岩市钨资源不丰富，钨矿保有资源储量</w:t>
      </w:r>
      <w:r>
        <w:rPr>
          <w:rFonts w:ascii="仿宋" w:hAnsi="仿宋" w:eastAsia="仿宋" w:cs="仿宋"/>
          <w:sz w:val="28"/>
          <w:szCs w:val="28"/>
        </w:rPr>
        <w:t>3473</w:t>
      </w:r>
      <w:r>
        <w:rPr>
          <w:rFonts w:hint="eastAsia" w:ascii="仿宋" w:hAnsi="仿宋" w:eastAsia="仿宋" w:cs="仿宋"/>
          <w:sz w:val="28"/>
          <w:szCs w:val="28"/>
        </w:rPr>
        <w:t>吨（</w:t>
      </w:r>
      <w:r>
        <w:rPr>
          <w:rFonts w:ascii="仿宋" w:hAnsi="仿宋" w:eastAsia="仿宋" w:cs="仿宋"/>
          <w:sz w:val="28"/>
          <w:szCs w:val="28"/>
        </w:rPr>
        <w:t>WO</w:t>
      </w:r>
      <w:r>
        <w:rPr>
          <w:rFonts w:ascii="仿宋" w:hAnsi="仿宋" w:eastAsia="仿宋" w:cs="仿宋"/>
          <w:sz w:val="28"/>
          <w:szCs w:val="28"/>
          <w:vertAlign w:val="subscript"/>
        </w:rPr>
        <w:t>3</w:t>
      </w:r>
      <w:r>
        <w:rPr>
          <w:rFonts w:hint="eastAsia" w:ascii="仿宋" w:hAnsi="仿宋" w:eastAsia="仿宋" w:cs="仿宋"/>
          <w:sz w:val="28"/>
          <w:szCs w:val="28"/>
        </w:rPr>
        <w:t>）</w:t>
      </w:r>
      <w:r>
        <w:rPr>
          <w:rFonts w:ascii="仿宋" w:hAnsi="仿宋" w:eastAsia="仿宋" w:cs="仿宋"/>
          <w:sz w:val="28"/>
          <w:szCs w:val="28"/>
        </w:rPr>
        <w:t>,</w:t>
      </w:r>
      <w:r>
        <w:rPr>
          <w:rFonts w:hint="eastAsia" w:ascii="仿宋" w:hAnsi="仿宋" w:eastAsia="仿宋" w:cs="仿宋"/>
          <w:sz w:val="28"/>
          <w:szCs w:val="28"/>
        </w:rPr>
        <w:t>唯一钨矿濯田钨矿已经停产，当地的钨资源不能满足生产的需要，需要从江西、湖南和河南等产钨大省采购钨矿原料。</w:t>
      </w:r>
    </w:p>
    <w:p>
      <w:pPr>
        <w:spacing w:line="560" w:lineRule="exact"/>
        <w:ind w:firstLine="31680" w:firstLineChars="196"/>
        <w:rPr>
          <w:rFonts w:ascii="仿宋" w:hAnsi="仿宋" w:eastAsia="仿宋" w:cs="Times New Roman"/>
          <w:sz w:val="28"/>
          <w:szCs w:val="28"/>
        </w:rPr>
      </w:pPr>
      <w:r>
        <w:rPr>
          <w:rFonts w:hint="eastAsia" w:ascii="仿宋" w:hAnsi="仿宋" w:eastAsia="仿宋" w:cs="仿宋"/>
          <w:sz w:val="28"/>
          <w:szCs w:val="28"/>
        </w:rPr>
        <w:t>龙岩市钨产业基础薄弱，原来冶炼企业仅有金鑫钨业公司，</w:t>
      </w:r>
      <w:r>
        <w:rPr>
          <w:rFonts w:ascii="仿宋" w:hAnsi="仿宋" w:eastAsia="仿宋" w:cs="仿宋"/>
          <w:sz w:val="28"/>
          <w:szCs w:val="28"/>
        </w:rPr>
        <w:t>2019</w:t>
      </w:r>
      <w:r>
        <w:rPr>
          <w:rFonts w:hint="eastAsia" w:ascii="仿宋" w:hAnsi="仿宋" w:eastAsia="仿宋" w:cs="仿宋"/>
          <w:sz w:val="28"/>
          <w:szCs w:val="28"/>
        </w:rPr>
        <w:t>年生产仲钨酸铵（</w:t>
      </w:r>
      <w:r>
        <w:rPr>
          <w:rFonts w:ascii="仿宋" w:hAnsi="仿宋" w:eastAsia="仿宋" w:cs="仿宋"/>
          <w:sz w:val="28"/>
          <w:szCs w:val="28"/>
        </w:rPr>
        <w:t>ATP</w:t>
      </w:r>
      <w:r>
        <w:rPr>
          <w:rFonts w:hint="eastAsia" w:ascii="仿宋" w:hAnsi="仿宋" w:eastAsia="仿宋" w:cs="仿宋"/>
          <w:sz w:val="28"/>
          <w:szCs w:val="28"/>
        </w:rPr>
        <w:t>）约</w:t>
      </w:r>
      <w:r>
        <w:rPr>
          <w:rFonts w:ascii="仿宋" w:hAnsi="仿宋" w:eastAsia="仿宋" w:cs="仿宋"/>
          <w:sz w:val="28"/>
          <w:szCs w:val="28"/>
        </w:rPr>
        <w:t>5000</w:t>
      </w:r>
      <w:r>
        <w:rPr>
          <w:rFonts w:hint="eastAsia" w:ascii="仿宋" w:hAnsi="仿宋" w:eastAsia="仿宋" w:cs="仿宋"/>
          <w:sz w:val="28"/>
          <w:szCs w:val="28"/>
        </w:rPr>
        <w:t>吨。</w:t>
      </w:r>
      <w:r>
        <w:rPr>
          <w:rFonts w:ascii="仿宋" w:hAnsi="仿宋" w:eastAsia="仿宋" w:cs="仿宋"/>
          <w:sz w:val="28"/>
          <w:szCs w:val="28"/>
        </w:rPr>
        <w:t>2018</w:t>
      </w:r>
      <w:r>
        <w:rPr>
          <w:rFonts w:hint="eastAsia" w:ascii="仿宋" w:hAnsi="仿宋" w:eastAsia="仿宋" w:cs="仿宋"/>
          <w:sz w:val="28"/>
          <w:szCs w:val="28"/>
        </w:rPr>
        <w:t>年</w:t>
      </w:r>
      <w:r>
        <w:rPr>
          <w:rFonts w:ascii="仿宋" w:hAnsi="仿宋" w:eastAsia="仿宋" w:cs="仿宋"/>
          <w:sz w:val="28"/>
          <w:szCs w:val="28"/>
        </w:rPr>
        <w:t>9</w:t>
      </w:r>
      <w:r>
        <w:rPr>
          <w:rFonts w:hint="eastAsia" w:ascii="仿宋" w:hAnsi="仿宋" w:eastAsia="仿宋" w:cs="仿宋"/>
          <w:sz w:val="28"/>
          <w:szCs w:val="28"/>
        </w:rPr>
        <w:t>月金鑫钨业与厦门钨业合作，并成立福建鑫鹭钨业有限公司</w:t>
      </w:r>
      <w:r>
        <w:rPr>
          <w:rFonts w:ascii="仿宋" w:hAnsi="仿宋" w:eastAsia="仿宋" w:cs="仿宋"/>
          <w:sz w:val="28"/>
          <w:szCs w:val="28"/>
        </w:rPr>
        <w:t>,</w:t>
      </w:r>
      <w:r>
        <w:rPr>
          <w:rFonts w:hint="eastAsia" w:ascii="仿宋" w:hAnsi="仿宋" w:eastAsia="仿宋" w:cs="仿宋"/>
          <w:sz w:val="28"/>
          <w:szCs w:val="28"/>
        </w:rPr>
        <w:t>该公司由厦门钨业控股</w:t>
      </w:r>
      <w:r>
        <w:rPr>
          <w:rFonts w:ascii="仿宋" w:hAnsi="仿宋" w:eastAsia="仿宋" w:cs="仿宋"/>
          <w:sz w:val="28"/>
          <w:szCs w:val="28"/>
        </w:rPr>
        <w:t>51%</w:t>
      </w:r>
      <w:r>
        <w:rPr>
          <w:rFonts w:hint="eastAsia" w:ascii="仿宋" w:hAnsi="仿宋" w:eastAsia="仿宋" w:cs="仿宋"/>
          <w:sz w:val="28"/>
          <w:szCs w:val="28"/>
        </w:rPr>
        <w:t>，金鑫钨业持股</w:t>
      </w:r>
      <w:r>
        <w:rPr>
          <w:rFonts w:ascii="仿宋" w:hAnsi="仿宋" w:eastAsia="仿宋" w:cs="仿宋"/>
          <w:sz w:val="28"/>
          <w:szCs w:val="28"/>
        </w:rPr>
        <w:t>49%</w:t>
      </w:r>
      <w:r>
        <w:rPr>
          <w:rFonts w:hint="eastAsia" w:ascii="仿宋" w:hAnsi="仿宋" w:eastAsia="仿宋" w:cs="仿宋"/>
          <w:sz w:val="28"/>
          <w:szCs w:val="28"/>
        </w:rPr>
        <w:t>，计划总投资</w:t>
      </w:r>
      <w:r>
        <w:rPr>
          <w:rFonts w:ascii="仿宋" w:hAnsi="仿宋" w:eastAsia="仿宋" w:cs="仿宋"/>
          <w:sz w:val="28"/>
          <w:szCs w:val="28"/>
        </w:rPr>
        <w:t>16.9</w:t>
      </w:r>
      <w:r>
        <w:rPr>
          <w:rFonts w:hint="eastAsia" w:ascii="仿宋" w:hAnsi="仿宋" w:eastAsia="仿宋" w:cs="仿宋"/>
          <w:sz w:val="28"/>
          <w:szCs w:val="28"/>
        </w:rPr>
        <w:t>亿元。鑫鹭钨业是金鑫钨业搬迁项目，分三期实施，其中一期投资</w:t>
      </w:r>
      <w:r>
        <w:rPr>
          <w:rFonts w:ascii="仿宋" w:hAnsi="仿宋" w:eastAsia="仿宋" w:cs="仿宋"/>
          <w:sz w:val="28"/>
          <w:szCs w:val="28"/>
        </w:rPr>
        <w:t>5</w:t>
      </w:r>
      <w:r>
        <w:rPr>
          <w:rFonts w:hint="eastAsia" w:ascii="仿宋" w:hAnsi="仿宋" w:eastAsia="仿宋" w:cs="仿宋"/>
          <w:sz w:val="28"/>
          <w:szCs w:val="28"/>
        </w:rPr>
        <w:t>亿元，建设一条智能化仲钨酸铵（</w:t>
      </w:r>
      <w:r>
        <w:rPr>
          <w:rFonts w:ascii="仿宋" w:hAnsi="仿宋" w:eastAsia="仿宋" w:cs="仿宋"/>
          <w:sz w:val="28"/>
          <w:szCs w:val="28"/>
        </w:rPr>
        <w:t>APT</w:t>
      </w:r>
      <w:r>
        <w:rPr>
          <w:rFonts w:hint="eastAsia" w:ascii="仿宋" w:hAnsi="仿宋" w:eastAsia="仿宋" w:cs="仿宋"/>
          <w:sz w:val="28"/>
          <w:szCs w:val="28"/>
        </w:rPr>
        <w:t>）生产线和一条硬质合金回收生产线，项目达产后将实现年产值</w:t>
      </w:r>
      <w:r>
        <w:rPr>
          <w:rFonts w:ascii="仿宋" w:hAnsi="仿宋" w:eastAsia="仿宋" w:cs="仿宋"/>
          <w:sz w:val="28"/>
          <w:szCs w:val="28"/>
        </w:rPr>
        <w:t>30</w:t>
      </w:r>
      <w:r>
        <w:rPr>
          <w:rFonts w:hint="eastAsia" w:ascii="仿宋" w:hAnsi="仿宋" w:eastAsia="仿宋" w:cs="仿宋"/>
          <w:sz w:val="28"/>
          <w:szCs w:val="28"/>
        </w:rPr>
        <w:t>亿元，税收</w:t>
      </w:r>
      <w:r>
        <w:rPr>
          <w:rFonts w:ascii="仿宋" w:hAnsi="仿宋" w:eastAsia="仿宋" w:cs="仿宋"/>
          <w:sz w:val="28"/>
          <w:szCs w:val="28"/>
        </w:rPr>
        <w:t>1</w:t>
      </w:r>
      <w:r>
        <w:rPr>
          <w:rFonts w:hint="eastAsia" w:ascii="仿宋" w:hAnsi="仿宋" w:eastAsia="仿宋" w:cs="仿宋"/>
          <w:sz w:val="28"/>
          <w:szCs w:val="28"/>
        </w:rPr>
        <w:t>亿元以上。</w:t>
      </w:r>
      <w:r>
        <w:rPr>
          <w:rFonts w:ascii="仿宋" w:hAnsi="仿宋" w:eastAsia="仿宋" w:cs="仿宋"/>
          <w:sz w:val="28"/>
          <w:szCs w:val="28"/>
        </w:rPr>
        <w:t>2020</w:t>
      </w:r>
      <w:r>
        <w:rPr>
          <w:rFonts w:hint="eastAsia" w:ascii="仿宋" w:hAnsi="仿宋" w:eastAsia="仿宋" w:cs="仿宋"/>
          <w:sz w:val="28"/>
          <w:szCs w:val="28"/>
        </w:rPr>
        <w:t>年</w:t>
      </w:r>
      <w:r>
        <w:rPr>
          <w:rFonts w:ascii="仿宋" w:hAnsi="仿宋" w:eastAsia="仿宋" w:cs="仿宋"/>
          <w:sz w:val="28"/>
          <w:szCs w:val="28"/>
        </w:rPr>
        <w:t>9</w:t>
      </w:r>
      <w:r>
        <w:rPr>
          <w:rFonts w:hint="eastAsia" w:ascii="仿宋" w:hAnsi="仿宋" w:eastAsia="仿宋" w:cs="仿宋"/>
          <w:sz w:val="28"/>
          <w:szCs w:val="28"/>
        </w:rPr>
        <w:t>月</w:t>
      </w:r>
      <w:r>
        <w:rPr>
          <w:rFonts w:ascii="仿宋" w:hAnsi="仿宋" w:eastAsia="仿宋" w:cs="仿宋"/>
          <w:sz w:val="28"/>
          <w:szCs w:val="28"/>
        </w:rPr>
        <w:t>6</w:t>
      </w:r>
      <w:r>
        <w:rPr>
          <w:rFonts w:hint="eastAsia" w:ascii="仿宋" w:hAnsi="仿宋" w:eastAsia="仿宋" w:cs="仿宋"/>
          <w:sz w:val="28"/>
          <w:szCs w:val="28"/>
        </w:rPr>
        <w:t>日，鑫鹭钨业建成投产，金鑫钨业随后停产。硬质合金生产线厂房已经建好，但设备没有安装，计划总产能</w:t>
      </w:r>
      <w:r>
        <w:rPr>
          <w:rFonts w:ascii="仿宋" w:hAnsi="仿宋" w:eastAsia="仿宋" w:cs="仿宋"/>
          <w:sz w:val="28"/>
          <w:szCs w:val="28"/>
        </w:rPr>
        <w:t>2500</w:t>
      </w:r>
      <w:r>
        <w:rPr>
          <w:rFonts w:hint="eastAsia" w:ascii="仿宋" w:hAnsi="仿宋" w:eastAsia="仿宋" w:cs="仿宋"/>
          <w:sz w:val="28"/>
          <w:szCs w:val="28"/>
        </w:rPr>
        <w:t>吨。将根据市场情况，先建成</w:t>
      </w:r>
      <w:r>
        <w:rPr>
          <w:rFonts w:ascii="仿宋" w:hAnsi="仿宋" w:eastAsia="仿宋" w:cs="仿宋"/>
          <w:sz w:val="28"/>
          <w:szCs w:val="28"/>
        </w:rPr>
        <w:t>500</w:t>
      </w:r>
      <w:r>
        <w:rPr>
          <w:rFonts w:hint="eastAsia" w:ascii="仿宋" w:hAnsi="仿宋" w:eastAsia="仿宋" w:cs="仿宋"/>
          <w:sz w:val="28"/>
          <w:szCs w:val="28"/>
        </w:rPr>
        <w:t>吨产能，工艺有锌熔法和电熔法，根据原料选择工艺。</w:t>
      </w:r>
    </w:p>
    <w:p>
      <w:pPr>
        <w:spacing w:line="560" w:lineRule="exact"/>
        <w:ind w:firstLine="31680" w:firstLineChars="196"/>
        <w:rPr>
          <w:rFonts w:ascii="仿宋" w:hAnsi="仿宋" w:eastAsia="仿宋" w:cs="Times New Roman"/>
          <w:sz w:val="28"/>
          <w:szCs w:val="28"/>
        </w:rPr>
      </w:pPr>
      <w:r>
        <w:rPr>
          <w:rFonts w:hint="eastAsia" w:ascii="仿宋" w:hAnsi="仿宋" w:eastAsia="仿宋" w:cs="仿宋"/>
          <w:sz w:val="28"/>
          <w:szCs w:val="28"/>
        </w:rPr>
        <w:t>目前，龙岩市钨产业的产值较小，而中国钨工业产值约</w:t>
      </w:r>
      <w:r>
        <w:rPr>
          <w:rFonts w:ascii="仿宋" w:hAnsi="仿宋" w:eastAsia="仿宋" w:cs="仿宋"/>
          <w:sz w:val="28"/>
          <w:szCs w:val="28"/>
        </w:rPr>
        <w:t>600</w:t>
      </w:r>
      <w:r>
        <w:rPr>
          <w:rFonts w:hint="eastAsia" w:ascii="仿宋" w:hAnsi="仿宋" w:eastAsia="仿宋" w:cs="仿宋"/>
          <w:sz w:val="28"/>
          <w:szCs w:val="28"/>
        </w:rPr>
        <w:t>亿元，还有较大的发展潜力。</w:t>
      </w:r>
    </w:p>
    <w:p>
      <w:pPr>
        <w:spacing w:line="560" w:lineRule="exact"/>
        <w:ind w:firstLine="31680" w:firstLineChars="196"/>
        <w:rPr>
          <w:rFonts w:ascii="仿宋" w:hAnsi="仿宋" w:eastAsia="仿宋" w:cs="Times New Roman"/>
          <w:sz w:val="28"/>
          <w:szCs w:val="28"/>
        </w:rPr>
      </w:pPr>
      <w:r>
        <w:rPr>
          <w:rFonts w:hint="eastAsia" w:ascii="仿宋" w:hAnsi="仿宋" w:eastAsia="仿宋" w:cs="仿宋"/>
          <w:sz w:val="28"/>
          <w:szCs w:val="28"/>
        </w:rPr>
        <w:t>未来，龙岩市可以引进硬质合金工具等深加工企业，一方面污染少，另一方面降低对原料的依赖。硬质合金刀具加工企业在广东东莞形成较大规模，当地竞争在加剧，部分企业向国内其它城市转移，龙岩可以招商引资吸引这部分企业。连城的万恒精密刀具从厦门钨业购买硬质合金棒材，加工硬质合金刀具，如果厦门钨业在龙岩继续建设硬质合金生产线，将能够吸引下游刀具加工企业在当地投资。</w:t>
      </w:r>
    </w:p>
    <w:p>
      <w:pPr>
        <w:spacing w:line="560" w:lineRule="exact"/>
        <w:jc w:val="center"/>
        <w:rPr>
          <w:rFonts w:ascii="黑体" w:hAnsi="黑体" w:eastAsia="黑体" w:cs="Times New Roman"/>
        </w:rPr>
      </w:pPr>
      <w:r>
        <w:rPr>
          <w:rFonts w:hint="eastAsia" w:eastAsia="黑体" w:cs="黑体"/>
        </w:rPr>
        <w:t>表</w:t>
      </w:r>
      <w:r>
        <w:rPr>
          <w:rFonts w:eastAsia="黑体"/>
        </w:rPr>
        <w:t xml:space="preserve">3-1  </w:t>
      </w:r>
      <w:r>
        <w:rPr>
          <w:rFonts w:hint="eastAsia" w:ascii="黑体" w:hAnsi="黑体" w:eastAsia="黑体" w:cs="黑体"/>
        </w:rPr>
        <w:t>龙岩当地钨企业概况</w:t>
      </w:r>
    </w:p>
    <w:tbl>
      <w:tblPr>
        <w:tblW w:w="9286"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
      <w:tblGrid>
        <w:gridCol w:w="1858"/>
        <w:gridCol w:w="1309"/>
        <w:gridCol w:w="2405"/>
        <w:gridCol w:w="1857"/>
        <w:gridCol w:w="1857"/>
      </w:tblGrid>
      <w:tr>
        <w:tc>
          <w:tcPr>
            <w:tcW w:w="1858" w:type="dxa"/>
            <w:shd w:val="clear" w:color="auto" w:fill="D9D9D9"/>
            <w:vAlign w:val="top"/>
          </w:tcPr>
          <w:p>
            <w:pPr>
              <w:rPr>
                <w:rFonts w:ascii="Times New Roman" w:hAnsi="Times New Roman" w:cs="Times New Roman"/>
                <w:b/>
                <w:bCs/>
              </w:rPr>
            </w:pPr>
            <w:r>
              <w:rPr>
                <w:rFonts w:hint="eastAsia" w:ascii="Times New Roman" w:hAnsi="Times New Roman" w:cs="宋体"/>
                <w:b/>
                <w:bCs/>
              </w:rPr>
              <w:t>企业名称</w:t>
            </w:r>
          </w:p>
        </w:tc>
        <w:tc>
          <w:tcPr>
            <w:tcW w:w="1309" w:type="dxa"/>
            <w:shd w:val="clear" w:color="auto" w:fill="D9D9D9"/>
            <w:vAlign w:val="top"/>
          </w:tcPr>
          <w:p>
            <w:pPr>
              <w:rPr>
                <w:rFonts w:ascii="Times New Roman" w:hAnsi="Times New Roman" w:cs="Times New Roman"/>
                <w:b/>
                <w:bCs/>
              </w:rPr>
            </w:pPr>
            <w:r>
              <w:rPr>
                <w:rFonts w:hint="eastAsia" w:ascii="Times New Roman" w:hAnsi="Times New Roman" w:cs="宋体"/>
                <w:b/>
                <w:bCs/>
              </w:rPr>
              <w:t>所在地</w:t>
            </w:r>
          </w:p>
        </w:tc>
        <w:tc>
          <w:tcPr>
            <w:tcW w:w="2405" w:type="dxa"/>
            <w:shd w:val="clear" w:color="auto" w:fill="D9D9D9"/>
            <w:vAlign w:val="top"/>
          </w:tcPr>
          <w:p>
            <w:pPr>
              <w:rPr>
                <w:rFonts w:ascii="Times New Roman" w:hAnsi="Times New Roman" w:cs="Times New Roman"/>
                <w:b/>
                <w:bCs/>
              </w:rPr>
            </w:pPr>
            <w:r>
              <w:rPr>
                <w:rFonts w:hint="eastAsia" w:ascii="Times New Roman" w:hAnsi="Times New Roman" w:cs="宋体"/>
                <w:b/>
                <w:bCs/>
              </w:rPr>
              <w:t>主要业务</w:t>
            </w:r>
          </w:p>
        </w:tc>
        <w:tc>
          <w:tcPr>
            <w:tcW w:w="1857" w:type="dxa"/>
            <w:shd w:val="clear" w:color="auto" w:fill="D9D9D9"/>
            <w:vAlign w:val="top"/>
          </w:tcPr>
          <w:p>
            <w:pPr>
              <w:rPr>
                <w:rFonts w:ascii="Times New Roman" w:hAnsi="Times New Roman" w:cs="Times New Roman"/>
                <w:b/>
                <w:bCs/>
              </w:rPr>
            </w:pPr>
            <w:r>
              <w:rPr>
                <w:rFonts w:hint="eastAsia" w:ascii="Times New Roman" w:hAnsi="Times New Roman" w:cs="宋体"/>
                <w:b/>
                <w:bCs/>
              </w:rPr>
              <w:t>产能</w:t>
            </w:r>
          </w:p>
        </w:tc>
        <w:tc>
          <w:tcPr>
            <w:tcW w:w="1857" w:type="dxa"/>
            <w:shd w:val="clear" w:color="auto" w:fill="D9D9D9"/>
            <w:vAlign w:val="top"/>
          </w:tcPr>
          <w:p>
            <w:pPr>
              <w:rPr>
                <w:rFonts w:ascii="Times New Roman" w:hAnsi="Times New Roman" w:cs="Times New Roman"/>
                <w:b/>
                <w:bCs/>
              </w:rPr>
            </w:pPr>
            <w:r>
              <w:rPr>
                <w:rFonts w:ascii="Times New Roman" w:hAnsi="Times New Roman" w:cs="Times New Roman"/>
                <w:b/>
                <w:bCs/>
              </w:rPr>
              <w:t>2019</w:t>
            </w:r>
            <w:r>
              <w:rPr>
                <w:rFonts w:hint="eastAsia" w:ascii="Times New Roman" w:hAnsi="Times New Roman" w:cs="宋体"/>
                <w:b/>
                <w:bCs/>
              </w:rPr>
              <w:t>年产量</w:t>
            </w:r>
          </w:p>
        </w:tc>
      </w:tr>
      <w:tr>
        <w:tc>
          <w:tcPr>
            <w:tcW w:w="1858" w:type="dxa"/>
            <w:vAlign w:val="top"/>
          </w:tcPr>
          <w:p>
            <w:pPr>
              <w:rPr>
                <w:rFonts w:ascii="Times New Roman" w:hAnsi="Times New Roman" w:cs="Times New Roman"/>
              </w:rPr>
            </w:pPr>
            <w:r>
              <w:rPr>
                <w:rFonts w:hint="eastAsia" w:ascii="Times New Roman" w:hAnsi="Times New Roman" w:cs="宋体"/>
              </w:rPr>
              <w:t>福建鑫鹭钨业有限公司</w:t>
            </w:r>
          </w:p>
        </w:tc>
        <w:tc>
          <w:tcPr>
            <w:tcW w:w="1309" w:type="dxa"/>
            <w:vAlign w:val="top"/>
          </w:tcPr>
          <w:p>
            <w:pPr>
              <w:rPr>
                <w:rFonts w:ascii="Times New Roman" w:hAnsi="Times New Roman" w:cs="Times New Roman"/>
              </w:rPr>
            </w:pPr>
            <w:r>
              <w:rPr>
                <w:rFonts w:hint="eastAsia" w:ascii="Times New Roman" w:hAnsi="Times New Roman" w:cs="宋体"/>
              </w:rPr>
              <w:t>新罗雁石经济开发区</w:t>
            </w:r>
          </w:p>
        </w:tc>
        <w:tc>
          <w:tcPr>
            <w:tcW w:w="2405" w:type="dxa"/>
            <w:vAlign w:val="top"/>
          </w:tcPr>
          <w:p>
            <w:pPr>
              <w:rPr>
                <w:rFonts w:ascii="Times New Roman" w:hAnsi="Times New Roman" w:cs="Times New Roman"/>
              </w:rPr>
            </w:pPr>
            <w:r>
              <w:rPr>
                <w:rFonts w:hint="eastAsia" w:ascii="Times New Roman" w:hAnsi="Times New Roman" w:cs="宋体"/>
              </w:rPr>
              <w:t>钨铁粉末冶金，合金加工</w:t>
            </w:r>
          </w:p>
        </w:tc>
        <w:tc>
          <w:tcPr>
            <w:tcW w:w="1857" w:type="dxa"/>
            <w:vAlign w:val="top"/>
          </w:tcPr>
          <w:p>
            <w:pPr>
              <w:rPr>
                <w:rFonts w:ascii="Times New Roman" w:hAnsi="Times New Roman" w:cs="Times New Roman"/>
              </w:rPr>
            </w:pPr>
            <w:r>
              <w:rPr>
                <w:rFonts w:hint="eastAsia" w:ascii="Times New Roman" w:hAnsi="Times New Roman" w:cs="宋体"/>
              </w:rPr>
              <w:t>仲钨酸铵、钨酸、三氧化钨</w:t>
            </w:r>
            <w:r>
              <w:rPr>
                <w:rFonts w:ascii="Times New Roman" w:hAnsi="Times New Roman" w:cs="Times New Roman"/>
              </w:rPr>
              <w:t xml:space="preserve"> </w:t>
            </w:r>
            <w:r>
              <w:rPr>
                <w:rFonts w:hint="eastAsia" w:ascii="Times New Roman" w:hAnsi="Times New Roman" w:cs="宋体"/>
              </w:rPr>
              <w:t>产能</w:t>
            </w:r>
            <w:r>
              <w:rPr>
                <w:rFonts w:ascii="Times New Roman" w:hAnsi="Times New Roman" w:cs="Times New Roman"/>
              </w:rPr>
              <w:t>10000</w:t>
            </w:r>
            <w:r>
              <w:rPr>
                <w:rFonts w:hint="eastAsia" w:ascii="Times New Roman" w:hAnsi="Times New Roman" w:cs="宋体"/>
              </w:rPr>
              <w:t>吨</w:t>
            </w:r>
          </w:p>
          <w:p>
            <w:pPr>
              <w:rPr>
                <w:rFonts w:ascii="Times New Roman" w:hAnsi="Times New Roman" w:cs="Times New Roman"/>
              </w:rPr>
            </w:pPr>
            <w:r>
              <w:rPr>
                <w:rFonts w:ascii="Times New Roman" w:hAnsi="Times New Roman" w:cs="Times New Roman"/>
              </w:rPr>
              <w:t>2020</w:t>
            </w:r>
            <w:r>
              <w:rPr>
                <w:rFonts w:hint="eastAsia" w:ascii="Times New Roman" w:hAnsi="Times New Roman" w:cs="宋体"/>
              </w:rPr>
              <w:t>年</w:t>
            </w:r>
            <w:r>
              <w:rPr>
                <w:rFonts w:ascii="Times New Roman" w:hAnsi="Times New Roman" w:cs="Times New Roman"/>
              </w:rPr>
              <w:t>6</w:t>
            </w:r>
            <w:r>
              <w:rPr>
                <w:rFonts w:hint="eastAsia" w:ascii="Times New Roman" w:hAnsi="Times New Roman" w:cs="宋体"/>
              </w:rPr>
              <w:t>月，</w:t>
            </w:r>
            <w:r>
              <w:rPr>
                <w:rFonts w:ascii="Times New Roman" w:hAnsi="Times New Roman" w:cs="Times New Roman"/>
              </w:rPr>
              <w:t>1</w:t>
            </w:r>
            <w:r>
              <w:rPr>
                <w:rFonts w:hint="eastAsia" w:ascii="Times New Roman" w:hAnsi="Times New Roman" w:cs="宋体"/>
              </w:rPr>
              <w:t>万吨产能建成</w:t>
            </w:r>
          </w:p>
        </w:tc>
        <w:tc>
          <w:tcPr>
            <w:tcW w:w="1857" w:type="dxa"/>
            <w:vAlign w:val="top"/>
          </w:tcPr>
          <w:p>
            <w:pPr>
              <w:rPr>
                <w:rFonts w:ascii="Times New Roman" w:hAnsi="Times New Roman" w:cs="Times New Roman"/>
              </w:rPr>
            </w:pPr>
            <w:r>
              <w:rPr>
                <w:rFonts w:ascii="Times New Roman" w:hAnsi="Times New Roman" w:cs="Times New Roman"/>
              </w:rPr>
              <w:t>5000</w:t>
            </w:r>
            <w:r>
              <w:rPr>
                <w:rFonts w:hint="eastAsia" w:ascii="Times New Roman" w:hAnsi="Times New Roman" w:cs="宋体"/>
              </w:rPr>
              <w:t>吨</w:t>
            </w:r>
          </w:p>
        </w:tc>
      </w:tr>
      <w:tr>
        <w:tc>
          <w:tcPr>
            <w:tcW w:w="1858" w:type="dxa"/>
            <w:vAlign w:val="top"/>
          </w:tcPr>
          <w:p>
            <w:pPr>
              <w:rPr>
                <w:rFonts w:ascii="Times New Roman" w:hAnsi="Times New Roman" w:cs="Times New Roman"/>
              </w:rPr>
            </w:pPr>
            <w:r>
              <w:rPr>
                <w:rFonts w:hint="eastAsia" w:ascii="Times New Roman" w:hAnsi="Times New Roman" w:cs="宋体"/>
              </w:rPr>
              <w:t>龙岩盛隆硬质合金有限公司</w:t>
            </w:r>
          </w:p>
        </w:tc>
        <w:tc>
          <w:tcPr>
            <w:tcW w:w="1309" w:type="dxa"/>
            <w:vAlign w:val="top"/>
          </w:tcPr>
          <w:p>
            <w:pPr>
              <w:rPr>
                <w:rFonts w:ascii="Times New Roman" w:hAnsi="Times New Roman" w:cs="Times New Roman"/>
              </w:rPr>
            </w:pPr>
            <w:r>
              <w:rPr>
                <w:rFonts w:hint="eastAsia" w:ascii="Times New Roman" w:hAnsi="Times New Roman" w:cs="宋体"/>
              </w:rPr>
              <w:t>新罗</w:t>
            </w:r>
          </w:p>
        </w:tc>
        <w:tc>
          <w:tcPr>
            <w:tcW w:w="2405" w:type="dxa"/>
            <w:vAlign w:val="top"/>
          </w:tcPr>
          <w:p>
            <w:pPr>
              <w:rPr>
                <w:rFonts w:ascii="Times New Roman" w:hAnsi="Times New Roman" w:cs="Times New Roman"/>
              </w:rPr>
            </w:pPr>
            <w:r>
              <w:rPr>
                <w:rFonts w:hint="eastAsia" w:ascii="Times New Roman" w:hAnsi="Times New Roman" w:cs="宋体"/>
              </w:rPr>
              <w:t>硬质合金、高密度合金、高速钢、硬质合金工具、刀具制造及销售。</w:t>
            </w:r>
          </w:p>
        </w:tc>
        <w:tc>
          <w:tcPr>
            <w:tcW w:w="1857" w:type="dxa"/>
            <w:vAlign w:val="top"/>
          </w:tcPr>
          <w:p>
            <w:pPr>
              <w:rPr>
                <w:rFonts w:ascii="Times New Roman" w:hAnsi="Times New Roman" w:cs="Times New Roman"/>
              </w:rPr>
            </w:pPr>
            <w:r>
              <w:rPr>
                <w:rFonts w:hint="eastAsia" w:ascii="Times New Roman" w:hAnsi="Times New Roman" w:cs="宋体"/>
              </w:rPr>
              <w:t>硬质合金、高密度合金、高速钢、硬质合金工具</w:t>
            </w:r>
          </w:p>
          <w:p>
            <w:pPr>
              <w:rPr>
                <w:rFonts w:ascii="Times New Roman" w:hAnsi="Times New Roman" w:cs="Times New Roman"/>
              </w:rPr>
            </w:pPr>
          </w:p>
        </w:tc>
        <w:tc>
          <w:tcPr>
            <w:tcW w:w="1857" w:type="dxa"/>
            <w:vAlign w:val="top"/>
          </w:tcPr>
          <w:p>
            <w:pPr>
              <w:rPr>
                <w:rFonts w:ascii="Times New Roman" w:hAnsi="Times New Roman" w:cs="Times New Roman"/>
              </w:rPr>
            </w:pPr>
            <w:r>
              <w:rPr>
                <w:rFonts w:ascii="Times New Roman" w:hAnsi="Times New Roman" w:cs="Times New Roman"/>
              </w:rPr>
              <w:t>-</w:t>
            </w:r>
          </w:p>
        </w:tc>
      </w:tr>
      <w:tr>
        <w:tc>
          <w:tcPr>
            <w:tcW w:w="1858" w:type="dxa"/>
            <w:vAlign w:val="top"/>
          </w:tcPr>
          <w:p>
            <w:pPr>
              <w:rPr>
                <w:rFonts w:ascii="Times New Roman" w:hAnsi="Times New Roman" w:cs="Times New Roman"/>
              </w:rPr>
            </w:pPr>
            <w:r>
              <w:rPr>
                <w:rFonts w:hint="eastAsia" w:ascii="Times New Roman" w:hAnsi="Times New Roman" w:cs="宋体"/>
              </w:rPr>
              <w:t>福建万恒精密刀具有限公司</w:t>
            </w:r>
          </w:p>
        </w:tc>
        <w:tc>
          <w:tcPr>
            <w:tcW w:w="1309" w:type="dxa"/>
            <w:vAlign w:val="top"/>
          </w:tcPr>
          <w:p>
            <w:pPr>
              <w:rPr>
                <w:rFonts w:ascii="Times New Roman" w:hAnsi="Times New Roman" w:cs="Times New Roman"/>
              </w:rPr>
            </w:pPr>
            <w:r>
              <w:rPr>
                <w:rFonts w:hint="eastAsia" w:ascii="Times New Roman" w:hAnsi="Times New Roman" w:cs="宋体"/>
              </w:rPr>
              <w:t>连城</w:t>
            </w:r>
          </w:p>
        </w:tc>
        <w:tc>
          <w:tcPr>
            <w:tcW w:w="2405" w:type="dxa"/>
            <w:vAlign w:val="top"/>
          </w:tcPr>
          <w:p>
            <w:pPr>
              <w:rPr>
                <w:rFonts w:ascii="Times New Roman" w:hAnsi="Times New Roman" w:cs="Times New Roman"/>
              </w:rPr>
            </w:pPr>
            <w:r>
              <w:rPr>
                <w:rFonts w:hint="eastAsia" w:ascii="Times New Roman" w:hAnsi="Times New Roman" w:cs="宋体"/>
              </w:rPr>
              <w:t>生产硬质合金（钨钢）刀具</w:t>
            </w:r>
          </w:p>
        </w:tc>
        <w:tc>
          <w:tcPr>
            <w:tcW w:w="1857" w:type="dxa"/>
            <w:vAlign w:val="top"/>
          </w:tcPr>
          <w:p>
            <w:pPr>
              <w:rPr>
                <w:rFonts w:ascii="Times New Roman" w:hAnsi="Times New Roman" w:cs="Times New Roman"/>
              </w:rPr>
            </w:pPr>
            <w:r>
              <w:rPr>
                <w:rFonts w:hint="eastAsia" w:ascii="Times New Roman" w:hAnsi="Times New Roman" w:cs="宋体"/>
              </w:rPr>
              <w:t>年产钨钢刀具</w:t>
            </w:r>
            <w:r>
              <w:rPr>
                <w:rFonts w:ascii="Times New Roman" w:hAnsi="Times New Roman" w:cs="Times New Roman"/>
              </w:rPr>
              <w:t>50</w:t>
            </w:r>
            <w:r>
              <w:rPr>
                <w:rFonts w:hint="eastAsia" w:ascii="Times New Roman" w:hAnsi="Times New Roman" w:cs="宋体"/>
              </w:rPr>
              <w:t>万支</w:t>
            </w:r>
          </w:p>
        </w:tc>
        <w:tc>
          <w:tcPr>
            <w:tcW w:w="1857" w:type="dxa"/>
            <w:vAlign w:val="top"/>
          </w:tcPr>
          <w:p>
            <w:pPr>
              <w:rPr>
                <w:rFonts w:ascii="Times New Roman" w:hAnsi="Times New Roman" w:cs="Times New Roman"/>
              </w:rPr>
            </w:pPr>
            <w:r>
              <w:rPr>
                <w:rFonts w:ascii="Times New Roman" w:hAnsi="Times New Roman" w:cs="Times New Roman"/>
              </w:rPr>
              <w:t>40</w:t>
            </w:r>
            <w:r>
              <w:rPr>
                <w:rFonts w:hint="eastAsia" w:ascii="Times New Roman" w:hAnsi="Times New Roman" w:cs="宋体"/>
              </w:rPr>
              <w:t>万支</w:t>
            </w:r>
          </w:p>
        </w:tc>
      </w:tr>
    </w:tbl>
    <w:p>
      <w:pPr>
        <w:spacing w:line="560" w:lineRule="exact"/>
        <w:jc w:val="center"/>
        <w:rPr>
          <w:rFonts w:ascii="黑体" w:hAnsi="黑体" w:eastAsia="黑体" w:cs="Times New Roman"/>
        </w:rPr>
      </w:pPr>
      <w:r>
        <w:rPr>
          <w:rFonts w:hint="eastAsia" w:eastAsia="黑体" w:cs="黑体"/>
        </w:rPr>
        <w:t>表</w:t>
      </w:r>
      <w:r>
        <w:rPr>
          <w:rFonts w:eastAsia="黑体"/>
        </w:rPr>
        <w:t>3-2</w:t>
      </w:r>
      <w:r>
        <w:rPr>
          <w:rFonts w:hint="eastAsia" w:ascii="黑体" w:hAnsi="黑体" w:eastAsia="黑体" w:cs="黑体"/>
        </w:rPr>
        <w:t>龙岩在建拟建钨项目概况</w:t>
      </w:r>
    </w:p>
    <w:tbl>
      <w:tblPr>
        <w:tblW w:w="9286"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
      <w:tblGrid>
        <w:gridCol w:w="1415"/>
        <w:gridCol w:w="1035"/>
        <w:gridCol w:w="1300"/>
        <w:gridCol w:w="3990"/>
        <w:gridCol w:w="1546"/>
      </w:tblGrid>
      <w:tr>
        <w:trPr>
          <w:tblHeader/>
        </w:trPr>
        <w:tc>
          <w:tcPr>
            <w:tcW w:w="1415" w:type="dxa"/>
            <w:shd w:val="clear" w:color="auto" w:fill="D9D9D9"/>
            <w:vAlign w:val="top"/>
          </w:tcPr>
          <w:p>
            <w:pPr>
              <w:rPr>
                <w:rFonts w:ascii="Times New Roman" w:hAnsi="Times New Roman" w:cs="Times New Roman"/>
                <w:b/>
                <w:bCs/>
              </w:rPr>
            </w:pPr>
            <w:r>
              <w:rPr>
                <w:rFonts w:hint="eastAsia" w:ascii="Times New Roman" w:hAnsi="Times New Roman" w:cs="宋体"/>
                <w:b/>
                <w:bCs/>
              </w:rPr>
              <w:t>项目名称</w:t>
            </w:r>
          </w:p>
        </w:tc>
        <w:tc>
          <w:tcPr>
            <w:tcW w:w="1035" w:type="dxa"/>
            <w:shd w:val="clear" w:color="auto" w:fill="D9D9D9"/>
            <w:vAlign w:val="top"/>
          </w:tcPr>
          <w:p>
            <w:pPr>
              <w:rPr>
                <w:rFonts w:ascii="Times New Roman" w:hAnsi="Times New Roman" w:cs="Times New Roman"/>
                <w:b/>
                <w:bCs/>
              </w:rPr>
            </w:pPr>
            <w:r>
              <w:rPr>
                <w:rFonts w:hint="eastAsia" w:ascii="Times New Roman" w:hAnsi="Times New Roman" w:cs="宋体"/>
                <w:b/>
                <w:bCs/>
              </w:rPr>
              <w:t>所在地</w:t>
            </w:r>
          </w:p>
        </w:tc>
        <w:tc>
          <w:tcPr>
            <w:tcW w:w="1300" w:type="dxa"/>
            <w:shd w:val="clear" w:color="auto" w:fill="D9D9D9"/>
            <w:vAlign w:val="top"/>
          </w:tcPr>
          <w:p>
            <w:pPr>
              <w:rPr>
                <w:rFonts w:ascii="Times New Roman" w:hAnsi="Times New Roman" w:cs="Times New Roman"/>
                <w:b/>
                <w:bCs/>
              </w:rPr>
            </w:pPr>
            <w:r>
              <w:rPr>
                <w:rFonts w:hint="eastAsia" w:ascii="Times New Roman" w:hAnsi="Times New Roman" w:cs="宋体"/>
                <w:b/>
                <w:bCs/>
              </w:rPr>
              <w:t>业主单位</w:t>
            </w:r>
          </w:p>
        </w:tc>
        <w:tc>
          <w:tcPr>
            <w:tcW w:w="3990" w:type="dxa"/>
            <w:shd w:val="clear" w:color="auto" w:fill="D9D9D9"/>
            <w:vAlign w:val="top"/>
          </w:tcPr>
          <w:p>
            <w:pPr>
              <w:rPr>
                <w:rFonts w:ascii="Times New Roman" w:hAnsi="Times New Roman" w:cs="Times New Roman"/>
                <w:b/>
                <w:bCs/>
              </w:rPr>
            </w:pPr>
            <w:r>
              <w:rPr>
                <w:rFonts w:hint="eastAsia" w:ascii="Times New Roman" w:hAnsi="Times New Roman" w:cs="宋体"/>
                <w:b/>
                <w:bCs/>
              </w:rPr>
              <w:t>建设内容</w:t>
            </w:r>
          </w:p>
        </w:tc>
        <w:tc>
          <w:tcPr>
            <w:tcW w:w="1546" w:type="dxa"/>
            <w:shd w:val="clear" w:color="auto" w:fill="D9D9D9"/>
            <w:vAlign w:val="top"/>
          </w:tcPr>
          <w:p>
            <w:pPr>
              <w:rPr>
                <w:rFonts w:ascii="Times New Roman" w:hAnsi="Times New Roman" w:cs="Times New Roman"/>
                <w:b/>
                <w:bCs/>
              </w:rPr>
            </w:pPr>
            <w:r>
              <w:rPr>
                <w:rFonts w:hint="eastAsia" w:ascii="Times New Roman" w:hAnsi="Times New Roman" w:cs="宋体"/>
                <w:b/>
                <w:bCs/>
              </w:rPr>
              <w:t>建设年限</w:t>
            </w:r>
          </w:p>
        </w:tc>
      </w:tr>
      <w:tr>
        <w:tc>
          <w:tcPr>
            <w:tcW w:w="1415" w:type="dxa"/>
            <w:vAlign w:val="top"/>
          </w:tcPr>
          <w:p>
            <w:pPr>
              <w:rPr>
                <w:rFonts w:ascii="Times New Roman" w:hAnsi="Times New Roman" w:cs="Times New Roman"/>
              </w:rPr>
            </w:pPr>
            <w:r>
              <w:rPr>
                <w:rFonts w:ascii="Times New Roman" w:hAnsi="Times New Roman" w:cs="Times New Roman"/>
              </w:rPr>
              <w:t>50</w:t>
            </w:r>
            <w:r>
              <w:rPr>
                <w:rFonts w:hint="eastAsia" w:ascii="Times New Roman" w:hAnsi="Times New Roman" w:cs="宋体"/>
              </w:rPr>
              <w:t>万支精密刀具生产线</w:t>
            </w:r>
          </w:p>
        </w:tc>
        <w:tc>
          <w:tcPr>
            <w:tcW w:w="1035" w:type="dxa"/>
            <w:vAlign w:val="top"/>
          </w:tcPr>
          <w:p>
            <w:pPr>
              <w:rPr>
                <w:rFonts w:ascii="Times New Roman" w:hAnsi="Times New Roman" w:cs="Times New Roman"/>
              </w:rPr>
            </w:pPr>
            <w:r>
              <w:rPr>
                <w:rFonts w:hint="eastAsia" w:ascii="Times New Roman" w:hAnsi="Times New Roman" w:cs="宋体"/>
              </w:rPr>
              <w:t>连城</w:t>
            </w:r>
          </w:p>
        </w:tc>
        <w:tc>
          <w:tcPr>
            <w:tcW w:w="1300" w:type="dxa"/>
            <w:vAlign w:val="top"/>
          </w:tcPr>
          <w:p>
            <w:pPr>
              <w:rPr>
                <w:rFonts w:ascii="Times New Roman" w:hAnsi="Times New Roman" w:cs="Times New Roman"/>
              </w:rPr>
            </w:pPr>
            <w:r>
              <w:rPr>
                <w:rFonts w:hint="eastAsia" w:ascii="Times New Roman" w:hAnsi="Times New Roman" w:cs="宋体"/>
              </w:rPr>
              <w:t>福建万恒精密刀具</w:t>
            </w:r>
          </w:p>
          <w:p>
            <w:pPr>
              <w:rPr>
                <w:rFonts w:ascii="Times New Roman" w:hAnsi="Times New Roman" w:cs="Times New Roman"/>
              </w:rPr>
            </w:pPr>
            <w:r>
              <w:rPr>
                <w:rFonts w:hint="eastAsia" w:ascii="Times New Roman" w:hAnsi="Times New Roman" w:cs="宋体"/>
              </w:rPr>
              <w:t>有限公司</w:t>
            </w:r>
          </w:p>
        </w:tc>
        <w:tc>
          <w:tcPr>
            <w:tcW w:w="3990" w:type="dxa"/>
            <w:vAlign w:val="top"/>
          </w:tcPr>
          <w:p>
            <w:pPr>
              <w:rPr>
                <w:rFonts w:ascii="Times New Roman" w:hAnsi="Times New Roman" w:cs="Times New Roman"/>
              </w:rPr>
            </w:pPr>
            <w:r>
              <w:rPr>
                <w:rFonts w:hint="eastAsia" w:ascii="Times New Roman" w:hAnsi="Times New Roman" w:cs="宋体"/>
              </w:rPr>
              <w:t>在原厂投资</w:t>
            </w:r>
            <w:r>
              <w:rPr>
                <w:rFonts w:ascii="Times New Roman" w:hAnsi="Times New Roman" w:cs="Times New Roman"/>
              </w:rPr>
              <w:t>3000</w:t>
            </w:r>
            <w:r>
              <w:rPr>
                <w:rFonts w:hint="eastAsia" w:ascii="Times New Roman" w:hAnsi="Times New Roman" w:cs="宋体"/>
              </w:rPr>
              <w:t>万元扩建</w:t>
            </w:r>
            <w:r>
              <w:rPr>
                <w:rFonts w:ascii="Times New Roman" w:hAnsi="Times New Roman" w:cs="Times New Roman"/>
              </w:rPr>
              <w:t>4500</w:t>
            </w:r>
            <w:r>
              <w:rPr>
                <w:rFonts w:hint="eastAsia" w:ascii="Times New Roman" w:hAnsi="Times New Roman" w:cs="宋体"/>
              </w:rPr>
              <w:t>平方米生产线，购买</w:t>
            </w:r>
            <w:r>
              <w:rPr>
                <w:rFonts w:ascii="Times New Roman" w:hAnsi="Times New Roman" w:cs="Times New Roman"/>
              </w:rPr>
              <w:t>15</w:t>
            </w:r>
            <w:r>
              <w:rPr>
                <w:rFonts w:hint="eastAsia" w:ascii="Times New Roman" w:hAnsi="Times New Roman" w:cs="宋体"/>
              </w:rPr>
              <w:t>台五轴数控磨床及相关配套仪器，新增精密刀具生产线</w:t>
            </w:r>
            <w:r>
              <w:rPr>
                <w:rFonts w:ascii="Times New Roman" w:hAnsi="Times New Roman" w:cs="Times New Roman"/>
              </w:rPr>
              <w:t>15</w:t>
            </w:r>
            <w:r>
              <w:rPr>
                <w:rFonts w:hint="eastAsia" w:ascii="Times New Roman" w:hAnsi="Times New Roman" w:cs="宋体"/>
              </w:rPr>
              <w:t>条，增加</w:t>
            </w:r>
            <w:r>
              <w:rPr>
                <w:rFonts w:ascii="Times New Roman" w:hAnsi="Times New Roman" w:cs="Times New Roman"/>
              </w:rPr>
              <w:t>50</w:t>
            </w:r>
            <w:r>
              <w:rPr>
                <w:rFonts w:hint="eastAsia" w:ascii="Times New Roman" w:hAnsi="Times New Roman" w:cs="宋体"/>
              </w:rPr>
              <w:t>万支精密刀具产能，达产后年产能</w:t>
            </w:r>
            <w:r>
              <w:rPr>
                <w:rFonts w:ascii="Times New Roman" w:hAnsi="Times New Roman" w:cs="Times New Roman"/>
              </w:rPr>
              <w:t>100</w:t>
            </w:r>
            <w:r>
              <w:rPr>
                <w:rFonts w:hint="eastAsia" w:ascii="Times New Roman" w:hAnsi="Times New Roman" w:cs="宋体"/>
              </w:rPr>
              <w:t>万支精密刀具生产能力。</w:t>
            </w:r>
          </w:p>
        </w:tc>
        <w:tc>
          <w:tcPr>
            <w:tcW w:w="1546" w:type="dxa"/>
            <w:vAlign w:val="top"/>
          </w:tcPr>
          <w:p>
            <w:pPr>
              <w:rPr>
                <w:rFonts w:ascii="Times New Roman" w:hAnsi="Times New Roman" w:cs="Times New Roman"/>
              </w:rPr>
            </w:pPr>
            <w:r>
              <w:rPr>
                <w:rFonts w:ascii="Times New Roman" w:hAnsi="Times New Roman" w:cs="Times New Roman"/>
              </w:rPr>
              <w:t>2020.1-2022.12</w:t>
            </w:r>
          </w:p>
        </w:tc>
      </w:tr>
      <w:tr>
        <w:tc>
          <w:tcPr>
            <w:tcW w:w="1415" w:type="dxa"/>
            <w:vAlign w:val="top"/>
          </w:tcPr>
          <w:p>
            <w:pPr>
              <w:rPr>
                <w:rFonts w:ascii="Times New Roman" w:hAnsi="Times New Roman" w:cs="Times New Roman"/>
              </w:rPr>
            </w:pPr>
            <w:r>
              <w:rPr>
                <w:rFonts w:hint="eastAsia" w:ascii="Times New Roman" w:hAnsi="Times New Roman" w:cs="宋体"/>
              </w:rPr>
              <w:t>钨钢精密模具材料项目</w:t>
            </w:r>
          </w:p>
        </w:tc>
        <w:tc>
          <w:tcPr>
            <w:tcW w:w="1035" w:type="dxa"/>
            <w:vAlign w:val="top"/>
          </w:tcPr>
          <w:p>
            <w:pPr>
              <w:rPr>
                <w:rFonts w:ascii="Times New Roman" w:hAnsi="Times New Roman" w:cs="Times New Roman"/>
              </w:rPr>
            </w:pPr>
            <w:r>
              <w:rPr>
                <w:rFonts w:hint="eastAsia" w:ascii="Times New Roman" w:hAnsi="Times New Roman" w:cs="宋体"/>
              </w:rPr>
              <w:t>连城</w:t>
            </w:r>
          </w:p>
        </w:tc>
        <w:tc>
          <w:tcPr>
            <w:tcW w:w="1300" w:type="dxa"/>
            <w:vAlign w:val="top"/>
          </w:tcPr>
          <w:p>
            <w:pPr>
              <w:rPr>
                <w:rFonts w:ascii="Times New Roman" w:hAnsi="Times New Roman" w:cs="Times New Roman"/>
              </w:rPr>
            </w:pPr>
            <w:r>
              <w:rPr>
                <w:rFonts w:hint="eastAsia" w:ascii="Times New Roman" w:hAnsi="Times New Roman" w:cs="宋体"/>
              </w:rPr>
              <w:t>福建中成新材料科技有限公司</w:t>
            </w:r>
          </w:p>
        </w:tc>
        <w:tc>
          <w:tcPr>
            <w:tcW w:w="3990" w:type="dxa"/>
            <w:vAlign w:val="top"/>
          </w:tcPr>
          <w:p>
            <w:pPr>
              <w:rPr>
                <w:rFonts w:ascii="Times New Roman" w:hAnsi="Times New Roman" w:cs="Times New Roman"/>
              </w:rPr>
            </w:pPr>
            <w:r>
              <w:rPr>
                <w:rFonts w:hint="eastAsia" w:ascii="Times New Roman" w:hAnsi="Times New Roman" w:cs="宋体"/>
              </w:rPr>
              <w:t>投资</w:t>
            </w:r>
            <w:r>
              <w:rPr>
                <w:rFonts w:ascii="Times New Roman" w:hAnsi="Times New Roman" w:cs="Times New Roman"/>
              </w:rPr>
              <w:t>1000</w:t>
            </w:r>
            <w:r>
              <w:rPr>
                <w:rFonts w:hint="eastAsia" w:ascii="Times New Roman" w:hAnsi="Times New Roman" w:cs="宋体"/>
              </w:rPr>
              <w:t>万元在原厂建设年产</w:t>
            </w:r>
            <w:r>
              <w:rPr>
                <w:rFonts w:ascii="Times New Roman" w:hAnsi="Times New Roman" w:cs="Times New Roman"/>
              </w:rPr>
              <w:t>30</w:t>
            </w:r>
            <w:r>
              <w:rPr>
                <w:rFonts w:hint="eastAsia" w:ascii="Times New Roman" w:hAnsi="Times New Roman" w:cs="宋体"/>
              </w:rPr>
              <w:t>吨钨钢精密模具材料项目，目前项目正在试产阶段，项目达产后年产值在</w:t>
            </w:r>
            <w:r>
              <w:rPr>
                <w:rFonts w:ascii="Times New Roman" w:hAnsi="Times New Roman" w:cs="Times New Roman"/>
              </w:rPr>
              <w:t>2000-3000</w:t>
            </w:r>
            <w:r>
              <w:rPr>
                <w:rFonts w:hint="eastAsia" w:ascii="Times New Roman" w:hAnsi="Times New Roman" w:cs="宋体"/>
              </w:rPr>
              <w:t>万元。</w:t>
            </w:r>
          </w:p>
        </w:tc>
        <w:tc>
          <w:tcPr>
            <w:tcW w:w="1546" w:type="dxa"/>
            <w:vAlign w:val="top"/>
          </w:tcPr>
          <w:p>
            <w:pPr>
              <w:rPr>
                <w:rFonts w:ascii="Times New Roman" w:hAnsi="Times New Roman" w:cs="Times New Roman"/>
              </w:rPr>
            </w:pPr>
            <w:r>
              <w:rPr>
                <w:rFonts w:ascii="Times New Roman" w:hAnsi="Times New Roman" w:cs="Times New Roman"/>
              </w:rPr>
              <w:t>2019.1-2020.12</w:t>
            </w:r>
          </w:p>
        </w:tc>
      </w:tr>
    </w:tbl>
    <w:p>
      <w:pPr>
        <w:spacing w:line="560" w:lineRule="exact"/>
        <w:ind w:firstLine="31680" w:firstLineChars="196"/>
        <w:rPr>
          <w:rFonts w:ascii="仿宋" w:hAnsi="仿宋" w:eastAsia="仿宋" w:cs="Times New Roman"/>
          <w:sz w:val="28"/>
          <w:szCs w:val="28"/>
        </w:rPr>
      </w:pPr>
      <w:r>
        <w:rPr>
          <w:rFonts w:hint="eastAsia" w:ascii="仿宋" w:hAnsi="仿宋" w:eastAsia="仿宋" w:cs="仿宋"/>
          <w:sz w:val="28"/>
          <w:szCs w:val="28"/>
        </w:rPr>
        <w:t>新扩建项目方面，万恒精密刀具有限公司在原厂投资</w:t>
      </w:r>
      <w:r>
        <w:rPr>
          <w:rFonts w:ascii="仿宋" w:hAnsi="仿宋" w:eastAsia="仿宋" w:cs="仿宋"/>
          <w:sz w:val="28"/>
          <w:szCs w:val="28"/>
        </w:rPr>
        <w:t>3000</w:t>
      </w:r>
      <w:r>
        <w:rPr>
          <w:rFonts w:hint="eastAsia" w:ascii="仿宋" w:hAnsi="仿宋" w:eastAsia="仿宋" w:cs="仿宋"/>
          <w:sz w:val="28"/>
          <w:szCs w:val="28"/>
        </w:rPr>
        <w:t>万元扩建</w:t>
      </w:r>
      <w:r>
        <w:rPr>
          <w:rFonts w:ascii="仿宋" w:hAnsi="仿宋" w:eastAsia="仿宋" w:cs="仿宋"/>
          <w:sz w:val="28"/>
          <w:szCs w:val="28"/>
        </w:rPr>
        <w:t>4500</w:t>
      </w:r>
      <w:r>
        <w:rPr>
          <w:rFonts w:hint="eastAsia" w:ascii="仿宋" w:hAnsi="仿宋" w:eastAsia="仿宋" w:cs="仿宋"/>
          <w:sz w:val="28"/>
          <w:szCs w:val="28"/>
        </w:rPr>
        <w:t>平方米生产线，新增精密刀具生产线</w:t>
      </w:r>
      <w:r>
        <w:rPr>
          <w:rFonts w:ascii="仿宋" w:hAnsi="仿宋" w:eastAsia="仿宋" w:cs="仿宋"/>
          <w:sz w:val="28"/>
          <w:szCs w:val="28"/>
        </w:rPr>
        <w:t>15</w:t>
      </w:r>
      <w:r>
        <w:rPr>
          <w:rFonts w:hint="eastAsia" w:ascii="仿宋" w:hAnsi="仿宋" w:eastAsia="仿宋" w:cs="仿宋"/>
          <w:sz w:val="28"/>
          <w:szCs w:val="28"/>
        </w:rPr>
        <w:t>条，增加</w:t>
      </w:r>
      <w:r>
        <w:rPr>
          <w:rFonts w:ascii="仿宋" w:hAnsi="仿宋" w:eastAsia="仿宋" w:cs="仿宋"/>
          <w:sz w:val="28"/>
          <w:szCs w:val="28"/>
        </w:rPr>
        <w:t>50</w:t>
      </w:r>
      <w:r>
        <w:rPr>
          <w:rFonts w:hint="eastAsia" w:ascii="仿宋" w:hAnsi="仿宋" w:eastAsia="仿宋" w:cs="仿宋"/>
          <w:sz w:val="28"/>
          <w:szCs w:val="28"/>
        </w:rPr>
        <w:t>万支精密刀具产能，达产后年产能</w:t>
      </w:r>
      <w:r>
        <w:rPr>
          <w:rFonts w:ascii="仿宋" w:hAnsi="仿宋" w:eastAsia="仿宋" w:cs="仿宋"/>
          <w:sz w:val="28"/>
          <w:szCs w:val="28"/>
        </w:rPr>
        <w:t>100</w:t>
      </w:r>
      <w:r>
        <w:rPr>
          <w:rFonts w:hint="eastAsia" w:ascii="仿宋" w:hAnsi="仿宋" w:eastAsia="仿宋" w:cs="仿宋"/>
          <w:sz w:val="28"/>
          <w:szCs w:val="28"/>
        </w:rPr>
        <w:t>万支精密刀具生产能力。该项目估计在</w:t>
      </w:r>
      <w:r>
        <w:rPr>
          <w:rFonts w:ascii="仿宋" w:hAnsi="仿宋" w:eastAsia="仿宋" w:cs="仿宋"/>
          <w:sz w:val="28"/>
          <w:szCs w:val="28"/>
        </w:rPr>
        <w:t>2022</w:t>
      </w:r>
      <w:r>
        <w:rPr>
          <w:rFonts w:hint="eastAsia" w:ascii="仿宋" w:hAnsi="仿宋" w:eastAsia="仿宋" w:cs="仿宋"/>
          <w:sz w:val="28"/>
          <w:szCs w:val="28"/>
        </w:rPr>
        <w:t>年</w:t>
      </w:r>
      <w:r>
        <w:rPr>
          <w:rFonts w:ascii="仿宋" w:hAnsi="仿宋" w:eastAsia="仿宋" w:cs="仿宋"/>
          <w:sz w:val="28"/>
          <w:szCs w:val="28"/>
        </w:rPr>
        <w:t>12</w:t>
      </w:r>
      <w:r>
        <w:rPr>
          <w:rFonts w:hint="eastAsia" w:ascii="仿宋" w:hAnsi="仿宋" w:eastAsia="仿宋" w:cs="仿宋"/>
          <w:sz w:val="28"/>
          <w:szCs w:val="28"/>
        </w:rPr>
        <w:t>月建成。</w:t>
      </w:r>
    </w:p>
    <w:p>
      <w:pPr>
        <w:spacing w:line="560" w:lineRule="exact"/>
        <w:ind w:firstLine="31680" w:firstLineChars="196"/>
        <w:rPr>
          <w:rFonts w:ascii="仿宋" w:hAnsi="仿宋" w:eastAsia="仿宋" w:cs="Times New Roman"/>
          <w:sz w:val="28"/>
          <w:szCs w:val="28"/>
        </w:rPr>
      </w:pPr>
      <w:r>
        <w:rPr>
          <w:rFonts w:hint="eastAsia" w:ascii="仿宋" w:hAnsi="仿宋" w:eastAsia="仿宋" w:cs="仿宋"/>
          <w:sz w:val="28"/>
          <w:szCs w:val="28"/>
        </w:rPr>
        <w:t>福建中成新材料科技有限公司投资</w:t>
      </w:r>
      <w:r>
        <w:rPr>
          <w:rFonts w:ascii="仿宋" w:hAnsi="仿宋" w:eastAsia="仿宋" w:cs="仿宋"/>
          <w:sz w:val="28"/>
          <w:szCs w:val="28"/>
        </w:rPr>
        <w:t>1000</w:t>
      </w:r>
      <w:r>
        <w:rPr>
          <w:rFonts w:hint="eastAsia" w:ascii="仿宋" w:hAnsi="仿宋" w:eastAsia="仿宋" w:cs="仿宋"/>
          <w:sz w:val="28"/>
          <w:szCs w:val="28"/>
        </w:rPr>
        <w:t>万元在原厂建设年产</w:t>
      </w:r>
      <w:r>
        <w:rPr>
          <w:rFonts w:ascii="仿宋" w:hAnsi="仿宋" w:eastAsia="仿宋" w:cs="仿宋"/>
          <w:sz w:val="28"/>
          <w:szCs w:val="28"/>
        </w:rPr>
        <w:t>30</w:t>
      </w:r>
      <w:r>
        <w:rPr>
          <w:rFonts w:hint="eastAsia" w:ascii="仿宋" w:hAnsi="仿宋" w:eastAsia="仿宋" w:cs="仿宋"/>
          <w:sz w:val="28"/>
          <w:szCs w:val="28"/>
        </w:rPr>
        <w:t>吨钨钢精密模具材料项目，目前项目正在试产阶段，年底可能正常生产，项目达产后年产值在</w:t>
      </w:r>
      <w:r>
        <w:rPr>
          <w:rFonts w:ascii="仿宋" w:hAnsi="仿宋" w:eastAsia="仿宋" w:cs="仿宋"/>
          <w:sz w:val="28"/>
          <w:szCs w:val="28"/>
        </w:rPr>
        <w:t>2000-3000</w:t>
      </w:r>
      <w:r>
        <w:rPr>
          <w:rFonts w:hint="eastAsia" w:ascii="仿宋" w:hAnsi="仿宋" w:eastAsia="仿宋" w:cs="仿宋"/>
          <w:sz w:val="28"/>
          <w:szCs w:val="28"/>
        </w:rPr>
        <w:t>万元。</w:t>
      </w:r>
    </w:p>
    <w:p>
      <w:pPr>
        <w:pStyle w:val="3"/>
        <w:rPr>
          <w:rFonts w:ascii="仿宋" w:hAnsi="仿宋" w:eastAsia="仿宋" w:cs="Times New Roman"/>
          <w:sz w:val="28"/>
          <w:szCs w:val="28"/>
        </w:rPr>
      </w:pPr>
      <w:bookmarkStart w:id="32" w:name="_Toc70684645"/>
      <w:r>
        <w:rPr>
          <w:rFonts w:hint="eastAsia" w:ascii="仿宋" w:hAnsi="仿宋" w:eastAsia="仿宋" w:cs="仿宋"/>
          <w:sz w:val="28"/>
          <w:szCs w:val="28"/>
        </w:rPr>
        <w:t>（三）有色产业发展条件分析</w:t>
      </w:r>
      <w:bookmarkEnd w:id="32"/>
    </w:p>
    <w:p>
      <w:pPr>
        <w:pStyle w:val="4"/>
        <w:spacing w:before="240" w:after="120" w:line="415" w:lineRule="auto"/>
        <w:rPr>
          <w:rFonts w:ascii="仿宋" w:hAnsi="仿宋" w:eastAsia="仿宋" w:cs="Times New Roman"/>
          <w:sz w:val="28"/>
          <w:szCs w:val="28"/>
        </w:rPr>
      </w:pPr>
      <w:bookmarkStart w:id="33" w:name="_Toc70684646"/>
      <w:r>
        <w:rPr>
          <w:rFonts w:ascii="仿宋" w:hAnsi="仿宋" w:eastAsia="仿宋" w:cs="仿宋"/>
          <w:sz w:val="28"/>
          <w:szCs w:val="28"/>
        </w:rPr>
        <w:t>1.</w:t>
      </w:r>
      <w:r>
        <w:rPr>
          <w:rFonts w:hint="eastAsia" w:ascii="仿宋" w:hAnsi="仿宋" w:eastAsia="仿宋" w:cs="仿宋"/>
          <w:sz w:val="28"/>
          <w:szCs w:val="28"/>
        </w:rPr>
        <w:t>基础设施条件</w:t>
      </w:r>
      <w:bookmarkEnd w:id="33"/>
    </w:p>
    <w:p>
      <w:pPr>
        <w:spacing w:line="560" w:lineRule="exact"/>
        <w:ind w:firstLine="31680" w:firstLineChars="200"/>
        <w:rPr>
          <w:rFonts w:ascii="仿宋" w:hAnsi="仿宋" w:eastAsia="仿宋" w:cs="Times New Roman"/>
          <w:sz w:val="28"/>
          <w:szCs w:val="28"/>
        </w:rPr>
      </w:pPr>
      <w:r>
        <w:rPr>
          <w:rFonts w:hint="eastAsia" w:ascii="仿宋" w:hAnsi="仿宋" w:eastAsia="仿宋" w:cs="仿宋"/>
          <w:b/>
          <w:bCs/>
          <w:sz w:val="28"/>
          <w:szCs w:val="28"/>
        </w:rPr>
        <w:t>区位和交通</w:t>
      </w:r>
      <w:r>
        <w:rPr>
          <w:rFonts w:hint="eastAsia" w:ascii="仿宋" w:hAnsi="仿宋" w:eastAsia="仿宋" w:cs="仿宋"/>
          <w:sz w:val="28"/>
          <w:szCs w:val="28"/>
        </w:rPr>
        <w:t>：龙岩市位于闽西，地处闽粤赣三省交界处，是海峡西岸经济区、全国革命老区、中央苏区的重要组成部分。龙岩市是福建省辐射珠三角最近的地区之一，具有较好的产业转移承接优势。</w:t>
      </w:r>
    </w:p>
    <w:p>
      <w:pPr>
        <w:spacing w:line="560" w:lineRule="exact"/>
        <w:ind w:firstLine="31680" w:firstLineChars="200"/>
        <w:rPr>
          <w:rFonts w:ascii="仿宋" w:hAnsi="仿宋" w:eastAsia="仿宋" w:cs="Times New Roman"/>
          <w:sz w:val="28"/>
          <w:szCs w:val="28"/>
        </w:rPr>
      </w:pPr>
      <w:r>
        <w:rPr>
          <w:rFonts w:hint="eastAsia" w:ascii="仿宋" w:hAnsi="仿宋" w:eastAsia="仿宋" w:cs="仿宋"/>
          <w:sz w:val="28"/>
          <w:szCs w:val="28"/>
        </w:rPr>
        <w:t>民航，龙岩冠豸山机场已开通至北京、上海、武汉、成都、深圳、厦门等航线，距厦门国际机场约</w:t>
      </w:r>
      <w:r>
        <w:rPr>
          <w:rFonts w:ascii="仿宋" w:hAnsi="仿宋" w:eastAsia="仿宋" w:cs="仿宋"/>
          <w:sz w:val="28"/>
          <w:szCs w:val="28"/>
        </w:rPr>
        <w:t>1</w:t>
      </w:r>
      <w:r>
        <w:rPr>
          <w:rFonts w:hint="eastAsia" w:ascii="仿宋" w:hAnsi="仿宋" w:eastAsia="仿宋" w:cs="仿宋"/>
          <w:sz w:val="28"/>
          <w:szCs w:val="28"/>
        </w:rPr>
        <w:t>小时车程，正在前期规划的龙岩东肖机场按</w:t>
      </w:r>
      <w:r>
        <w:rPr>
          <w:rFonts w:ascii="仿宋" w:hAnsi="仿宋" w:eastAsia="仿宋" w:cs="仿宋"/>
          <w:sz w:val="28"/>
          <w:szCs w:val="28"/>
        </w:rPr>
        <w:t>4C</w:t>
      </w:r>
      <w:r>
        <w:rPr>
          <w:rFonts w:hint="eastAsia" w:ascii="仿宋" w:hAnsi="仿宋" w:eastAsia="仿宋" w:cs="仿宋"/>
          <w:sz w:val="28"/>
          <w:szCs w:val="28"/>
        </w:rPr>
        <w:t>级标准建设，远期规划为</w:t>
      </w:r>
      <w:r>
        <w:rPr>
          <w:rFonts w:ascii="仿宋" w:hAnsi="仿宋" w:eastAsia="仿宋" w:cs="仿宋"/>
          <w:sz w:val="28"/>
          <w:szCs w:val="28"/>
        </w:rPr>
        <w:t>4E</w:t>
      </w:r>
      <w:r>
        <w:rPr>
          <w:rFonts w:hint="eastAsia" w:ascii="仿宋" w:hAnsi="仿宋" w:eastAsia="仿宋" w:cs="仿宋"/>
          <w:sz w:val="28"/>
          <w:szCs w:val="28"/>
        </w:rPr>
        <w:t>级；公路，漳龙高速连接沈海（沈阳</w:t>
      </w:r>
      <w:r>
        <w:rPr>
          <w:rFonts w:ascii="仿宋" w:hAnsi="仿宋" w:eastAsia="仿宋" w:cs="仿宋"/>
          <w:sz w:val="28"/>
          <w:szCs w:val="28"/>
        </w:rPr>
        <w:t>-</w:t>
      </w:r>
      <w:r>
        <w:rPr>
          <w:rFonts w:hint="eastAsia" w:ascii="仿宋" w:hAnsi="仿宋" w:eastAsia="仿宋" w:cs="仿宋"/>
          <w:sz w:val="28"/>
          <w:szCs w:val="28"/>
        </w:rPr>
        <w:t>海口）高速线、龙长高速东接龙厦高速线、西与江西赣州相连；铁路，龙漳、龙梅、龙赣铁路分别与鹰厦、广梅汕、大京九等铁路线相连，可直达上海（动车）、南京（动车）、广州、深圳（动车）、昆明等主要城市，龙厦时速</w:t>
      </w:r>
      <w:r>
        <w:rPr>
          <w:rFonts w:ascii="仿宋" w:hAnsi="仿宋" w:eastAsia="仿宋" w:cs="仿宋"/>
          <w:sz w:val="28"/>
          <w:szCs w:val="28"/>
        </w:rPr>
        <w:t>200km</w:t>
      </w:r>
      <w:r>
        <w:rPr>
          <w:rFonts w:hint="eastAsia" w:ascii="仿宋" w:hAnsi="仿宋" w:eastAsia="仿宋" w:cs="仿宋"/>
          <w:sz w:val="28"/>
          <w:szCs w:val="28"/>
        </w:rPr>
        <w:t>城际快速铁路于</w:t>
      </w:r>
      <w:r>
        <w:rPr>
          <w:rFonts w:ascii="仿宋" w:hAnsi="仿宋" w:eastAsia="仿宋" w:cs="仿宋"/>
          <w:sz w:val="28"/>
          <w:szCs w:val="28"/>
        </w:rPr>
        <w:t>2012</w:t>
      </w:r>
      <w:r>
        <w:rPr>
          <w:rFonts w:hint="eastAsia" w:ascii="仿宋" w:hAnsi="仿宋" w:eastAsia="仿宋" w:cs="仿宋"/>
          <w:sz w:val="28"/>
          <w:szCs w:val="28"/>
        </w:rPr>
        <w:t>年</w:t>
      </w:r>
      <w:r>
        <w:rPr>
          <w:rFonts w:ascii="仿宋" w:hAnsi="仿宋" w:eastAsia="仿宋" w:cs="仿宋"/>
          <w:sz w:val="28"/>
          <w:szCs w:val="28"/>
        </w:rPr>
        <w:t>6</w:t>
      </w:r>
      <w:r>
        <w:rPr>
          <w:rFonts w:hint="eastAsia" w:ascii="仿宋" w:hAnsi="仿宋" w:eastAsia="仿宋" w:cs="仿宋"/>
          <w:sz w:val="28"/>
          <w:szCs w:val="28"/>
        </w:rPr>
        <w:t>月建成通车，双龙铁路（高铁）</w:t>
      </w:r>
      <w:r>
        <w:rPr>
          <w:rFonts w:ascii="仿宋" w:hAnsi="仿宋" w:eastAsia="仿宋" w:cs="仿宋"/>
          <w:sz w:val="28"/>
          <w:szCs w:val="28"/>
        </w:rPr>
        <w:t>2019</w:t>
      </w:r>
      <w:r>
        <w:rPr>
          <w:rFonts w:hint="eastAsia" w:ascii="仿宋" w:hAnsi="仿宋" w:eastAsia="仿宋" w:cs="仿宋"/>
          <w:sz w:val="28"/>
          <w:szCs w:val="28"/>
        </w:rPr>
        <w:t>年</w:t>
      </w:r>
      <w:r>
        <w:rPr>
          <w:rFonts w:ascii="仿宋" w:hAnsi="仿宋" w:eastAsia="仿宋" w:cs="仿宋"/>
          <w:sz w:val="28"/>
          <w:szCs w:val="28"/>
        </w:rPr>
        <w:t>9</w:t>
      </w:r>
      <w:r>
        <w:rPr>
          <w:rFonts w:hint="eastAsia" w:ascii="仿宋" w:hAnsi="仿宋" w:eastAsia="仿宋" w:cs="仿宋"/>
          <w:sz w:val="28"/>
          <w:szCs w:val="28"/>
        </w:rPr>
        <w:t>月开工建设。</w:t>
      </w:r>
    </w:p>
    <w:p>
      <w:pPr>
        <w:spacing w:line="560" w:lineRule="exact"/>
        <w:ind w:firstLine="31680" w:firstLineChars="200"/>
        <w:rPr>
          <w:rFonts w:ascii="仿宋" w:hAnsi="仿宋" w:eastAsia="仿宋" w:cs="Times New Roman"/>
          <w:sz w:val="28"/>
          <w:szCs w:val="28"/>
        </w:rPr>
      </w:pPr>
      <w:r>
        <w:rPr>
          <w:rFonts w:hint="eastAsia" w:ascii="仿宋" w:hAnsi="仿宋" w:eastAsia="仿宋" w:cs="仿宋"/>
          <w:b/>
          <w:bCs/>
          <w:sz w:val="28"/>
          <w:szCs w:val="28"/>
        </w:rPr>
        <w:t>水电资源</w:t>
      </w:r>
      <w:r>
        <w:rPr>
          <w:rFonts w:ascii="仿宋" w:hAnsi="仿宋" w:eastAsia="仿宋" w:cs="仿宋"/>
          <w:b/>
          <w:bCs/>
          <w:sz w:val="28"/>
          <w:szCs w:val="28"/>
        </w:rPr>
        <w:t>:</w:t>
      </w:r>
      <w:r>
        <w:rPr>
          <w:rFonts w:hint="eastAsia" w:ascii="仿宋" w:hAnsi="仿宋" w:eastAsia="仿宋" w:cs="仿宋"/>
          <w:sz w:val="28"/>
          <w:szCs w:val="28"/>
        </w:rPr>
        <w:t>截至</w:t>
      </w:r>
      <w:r>
        <w:rPr>
          <w:rFonts w:ascii="仿宋" w:hAnsi="仿宋" w:eastAsia="仿宋" w:cs="仿宋"/>
          <w:sz w:val="28"/>
          <w:szCs w:val="28"/>
        </w:rPr>
        <w:t>2019</w:t>
      </w:r>
      <w:r>
        <w:rPr>
          <w:rFonts w:hint="eastAsia" w:ascii="仿宋" w:hAnsi="仿宋" w:eastAsia="仿宋" w:cs="仿宋"/>
          <w:sz w:val="28"/>
          <w:szCs w:val="28"/>
        </w:rPr>
        <w:t>年底，全市发电装机容量</w:t>
      </w:r>
      <w:r>
        <w:rPr>
          <w:rFonts w:ascii="仿宋" w:hAnsi="仿宋" w:eastAsia="仿宋" w:cs="仿宋"/>
          <w:sz w:val="28"/>
          <w:szCs w:val="28"/>
        </w:rPr>
        <w:t>349.7</w:t>
      </w:r>
      <w:r>
        <w:rPr>
          <w:rFonts w:hint="eastAsia" w:ascii="仿宋" w:hAnsi="仿宋" w:eastAsia="仿宋" w:cs="仿宋"/>
          <w:sz w:val="28"/>
          <w:szCs w:val="28"/>
        </w:rPr>
        <w:t>万千瓦，其中：火电装机</w:t>
      </w:r>
      <w:r>
        <w:rPr>
          <w:rFonts w:ascii="仿宋" w:hAnsi="仿宋" w:eastAsia="仿宋" w:cs="仿宋"/>
          <w:sz w:val="28"/>
          <w:szCs w:val="28"/>
        </w:rPr>
        <w:t>138.3</w:t>
      </w:r>
      <w:r>
        <w:rPr>
          <w:rFonts w:hint="eastAsia" w:ascii="仿宋" w:hAnsi="仿宋" w:eastAsia="仿宋" w:cs="仿宋"/>
          <w:sz w:val="28"/>
          <w:szCs w:val="28"/>
        </w:rPr>
        <w:t>万千瓦；水电装机</w:t>
      </w:r>
      <w:r>
        <w:rPr>
          <w:rFonts w:ascii="仿宋" w:hAnsi="仿宋" w:eastAsia="仿宋" w:cs="仿宋"/>
          <w:sz w:val="28"/>
          <w:szCs w:val="28"/>
        </w:rPr>
        <w:t>180.9</w:t>
      </w:r>
      <w:r>
        <w:rPr>
          <w:rFonts w:hint="eastAsia" w:ascii="仿宋" w:hAnsi="仿宋" w:eastAsia="仿宋" w:cs="仿宋"/>
          <w:sz w:val="28"/>
          <w:szCs w:val="28"/>
        </w:rPr>
        <w:t>万千瓦；其余风电、生物质发电、光伏发电合计装机</w:t>
      </w:r>
      <w:r>
        <w:rPr>
          <w:rFonts w:ascii="仿宋" w:hAnsi="仿宋" w:eastAsia="仿宋" w:cs="仿宋"/>
          <w:sz w:val="28"/>
          <w:szCs w:val="28"/>
        </w:rPr>
        <w:t>30.5</w:t>
      </w:r>
      <w:r>
        <w:rPr>
          <w:rFonts w:hint="eastAsia" w:ascii="仿宋" w:hAnsi="仿宋" w:eastAsia="仿宋" w:cs="仿宋"/>
          <w:sz w:val="28"/>
          <w:szCs w:val="28"/>
        </w:rPr>
        <w:t>万千瓦。龙岩电网形成了以</w:t>
      </w:r>
      <w:r>
        <w:rPr>
          <w:rFonts w:ascii="仿宋" w:hAnsi="仿宋" w:eastAsia="仿宋" w:cs="仿宋"/>
          <w:sz w:val="28"/>
          <w:szCs w:val="28"/>
        </w:rPr>
        <w:t>500</w:t>
      </w:r>
      <w:r>
        <w:rPr>
          <w:rFonts w:hint="eastAsia" w:ascii="仿宋" w:hAnsi="仿宋" w:eastAsia="仿宋" w:cs="仿宋"/>
          <w:sz w:val="28"/>
          <w:szCs w:val="28"/>
        </w:rPr>
        <w:t>千伏卓然变电站为中心，</w:t>
      </w:r>
      <w:r>
        <w:rPr>
          <w:rFonts w:ascii="仿宋" w:hAnsi="仿宋" w:eastAsia="仿宋" w:cs="仿宋"/>
          <w:sz w:val="28"/>
          <w:szCs w:val="28"/>
        </w:rPr>
        <w:t>220</w:t>
      </w:r>
      <w:r>
        <w:rPr>
          <w:rFonts w:hint="eastAsia" w:ascii="仿宋" w:hAnsi="仿宋" w:eastAsia="仿宋" w:cs="仿宋"/>
          <w:sz w:val="28"/>
          <w:szCs w:val="28"/>
        </w:rPr>
        <w:t>千伏网络环绕市中心城区辐射东部、环绕西北部和西南部的“一个中心三个环网”电网格局。全市各县至少有一座</w:t>
      </w:r>
      <w:r>
        <w:rPr>
          <w:rFonts w:ascii="仿宋" w:hAnsi="仿宋" w:eastAsia="仿宋" w:cs="仿宋"/>
          <w:sz w:val="28"/>
          <w:szCs w:val="28"/>
        </w:rPr>
        <w:t>220</w:t>
      </w:r>
      <w:r>
        <w:rPr>
          <w:rFonts w:hint="eastAsia" w:ascii="仿宋" w:hAnsi="仿宋" w:eastAsia="仿宋" w:cs="仿宋"/>
          <w:sz w:val="28"/>
          <w:szCs w:val="28"/>
        </w:rPr>
        <w:t>千伏变电站，并全部实现可靠供电。</w:t>
      </w:r>
      <w:r>
        <w:rPr>
          <w:rFonts w:ascii="仿宋" w:hAnsi="仿宋" w:eastAsia="仿宋" w:cs="仿宋"/>
          <w:sz w:val="28"/>
          <w:szCs w:val="28"/>
        </w:rPr>
        <w:t>2019</w:t>
      </w:r>
      <w:r>
        <w:rPr>
          <w:rFonts w:hint="eastAsia" w:ascii="仿宋" w:hAnsi="仿宋" w:eastAsia="仿宋" w:cs="仿宋"/>
          <w:sz w:val="28"/>
          <w:szCs w:val="28"/>
        </w:rPr>
        <w:t>年，龙岩市全社会用电量</w:t>
      </w:r>
      <w:r>
        <w:rPr>
          <w:rFonts w:ascii="仿宋" w:hAnsi="仿宋" w:eastAsia="仿宋" w:cs="仿宋"/>
          <w:sz w:val="28"/>
          <w:szCs w:val="28"/>
        </w:rPr>
        <w:t>134.69</w:t>
      </w:r>
      <w:r>
        <w:rPr>
          <w:rFonts w:hint="eastAsia" w:ascii="仿宋" w:hAnsi="仿宋" w:eastAsia="仿宋" w:cs="仿宋"/>
          <w:sz w:val="28"/>
          <w:szCs w:val="28"/>
        </w:rPr>
        <w:t>亿千瓦时，用电最高负荷</w:t>
      </w:r>
      <w:r>
        <w:rPr>
          <w:rFonts w:ascii="仿宋" w:hAnsi="仿宋" w:eastAsia="仿宋" w:cs="仿宋"/>
          <w:sz w:val="28"/>
          <w:szCs w:val="28"/>
        </w:rPr>
        <w:t>211.8</w:t>
      </w:r>
      <w:r>
        <w:rPr>
          <w:rFonts w:hint="eastAsia" w:ascii="仿宋" w:hAnsi="仿宋" w:eastAsia="仿宋" w:cs="仿宋"/>
          <w:sz w:val="28"/>
          <w:szCs w:val="28"/>
        </w:rPr>
        <w:t>万千瓦，其中有色金属行业用电量</w:t>
      </w:r>
      <w:r>
        <w:rPr>
          <w:rFonts w:ascii="仿宋" w:hAnsi="仿宋" w:eastAsia="仿宋" w:cs="仿宋"/>
          <w:sz w:val="28"/>
          <w:szCs w:val="28"/>
        </w:rPr>
        <w:t>7.12</w:t>
      </w:r>
      <w:r>
        <w:rPr>
          <w:rFonts w:hint="eastAsia" w:ascii="仿宋" w:hAnsi="仿宋" w:eastAsia="仿宋" w:cs="仿宋"/>
          <w:sz w:val="28"/>
          <w:szCs w:val="28"/>
        </w:rPr>
        <w:t>亿千瓦时，占龙岩市全社会用电量的</w:t>
      </w:r>
      <w:r>
        <w:rPr>
          <w:rFonts w:ascii="仿宋" w:hAnsi="仿宋" w:eastAsia="仿宋" w:cs="仿宋"/>
          <w:sz w:val="28"/>
          <w:szCs w:val="28"/>
        </w:rPr>
        <w:t>5.29%</w:t>
      </w:r>
      <w:r>
        <w:rPr>
          <w:rFonts w:hint="eastAsia" w:ascii="仿宋" w:hAnsi="仿宋" w:eastAsia="仿宋" w:cs="仿宋"/>
          <w:sz w:val="28"/>
          <w:szCs w:val="28"/>
        </w:rPr>
        <w:t>。</w:t>
      </w:r>
    </w:p>
    <w:p>
      <w:pPr>
        <w:spacing w:line="560" w:lineRule="exact"/>
        <w:ind w:firstLine="31680" w:firstLineChars="200"/>
        <w:rPr>
          <w:rFonts w:ascii="仿宋" w:hAnsi="仿宋" w:eastAsia="仿宋" w:cs="Times New Roman"/>
          <w:sz w:val="28"/>
          <w:szCs w:val="28"/>
        </w:rPr>
      </w:pPr>
      <w:r>
        <w:rPr>
          <w:rFonts w:hint="eastAsia" w:ascii="仿宋" w:hAnsi="仿宋" w:eastAsia="仿宋" w:cs="仿宋"/>
          <w:sz w:val="28"/>
          <w:szCs w:val="28"/>
        </w:rPr>
        <w:t>根据福建省水资源公报，</w:t>
      </w:r>
      <w:r>
        <w:rPr>
          <w:rFonts w:ascii="仿宋" w:hAnsi="仿宋" w:eastAsia="仿宋" w:cs="仿宋"/>
          <w:sz w:val="28"/>
          <w:szCs w:val="28"/>
        </w:rPr>
        <w:t>2018</w:t>
      </w:r>
      <w:r>
        <w:rPr>
          <w:rFonts w:hint="eastAsia" w:ascii="仿宋" w:hAnsi="仿宋" w:eastAsia="仿宋" w:cs="仿宋"/>
          <w:sz w:val="28"/>
          <w:szCs w:val="28"/>
        </w:rPr>
        <w:t>年龙岩市水资源总量</w:t>
      </w:r>
      <w:r>
        <w:rPr>
          <w:rFonts w:ascii="仿宋" w:hAnsi="仿宋" w:eastAsia="仿宋" w:cs="仿宋"/>
          <w:sz w:val="28"/>
          <w:szCs w:val="28"/>
        </w:rPr>
        <w:t>103.5</w:t>
      </w:r>
      <w:r>
        <w:rPr>
          <w:rFonts w:hint="eastAsia" w:ascii="仿宋" w:hAnsi="仿宋" w:eastAsia="仿宋" w:cs="仿宋"/>
          <w:sz w:val="28"/>
          <w:szCs w:val="28"/>
        </w:rPr>
        <w:t>亿立方米，人均水资源量</w:t>
      </w:r>
      <w:r>
        <w:rPr>
          <w:rFonts w:ascii="仿宋" w:hAnsi="仿宋" w:eastAsia="仿宋" w:cs="仿宋"/>
          <w:sz w:val="28"/>
          <w:szCs w:val="28"/>
        </w:rPr>
        <w:t>3921</w:t>
      </w:r>
      <w:r>
        <w:rPr>
          <w:rFonts w:hint="eastAsia" w:ascii="仿宋" w:hAnsi="仿宋" w:eastAsia="仿宋" w:cs="仿宋"/>
          <w:sz w:val="28"/>
          <w:szCs w:val="28"/>
        </w:rPr>
        <w:t>立方米，比全省平均</w:t>
      </w:r>
      <w:r>
        <w:rPr>
          <w:rFonts w:ascii="仿宋" w:hAnsi="仿宋" w:eastAsia="仿宋" w:cs="仿宋"/>
          <w:sz w:val="28"/>
          <w:szCs w:val="28"/>
        </w:rPr>
        <w:t>1975</w:t>
      </w:r>
      <w:r>
        <w:rPr>
          <w:rFonts w:hint="eastAsia" w:ascii="仿宋" w:hAnsi="仿宋" w:eastAsia="仿宋" w:cs="仿宋"/>
          <w:sz w:val="28"/>
          <w:szCs w:val="28"/>
        </w:rPr>
        <w:t>立方米高</w:t>
      </w:r>
      <w:r>
        <w:rPr>
          <w:rFonts w:ascii="仿宋" w:hAnsi="仿宋" w:eastAsia="仿宋" w:cs="仿宋"/>
          <w:sz w:val="28"/>
          <w:szCs w:val="28"/>
        </w:rPr>
        <w:t>98.5%</w:t>
      </w:r>
      <w:r>
        <w:rPr>
          <w:rFonts w:hint="eastAsia" w:ascii="仿宋" w:hAnsi="仿宋" w:eastAsia="仿宋" w:cs="仿宋"/>
          <w:sz w:val="28"/>
          <w:szCs w:val="28"/>
        </w:rPr>
        <w:t>，水资源丰富。</w:t>
      </w:r>
    </w:p>
    <w:p>
      <w:pPr>
        <w:spacing w:line="560" w:lineRule="exact"/>
        <w:ind w:firstLine="31680" w:firstLineChars="196"/>
        <w:rPr>
          <w:rFonts w:ascii="仿宋" w:hAnsi="仿宋" w:eastAsia="仿宋" w:cs="Times New Roman"/>
          <w:sz w:val="28"/>
          <w:szCs w:val="28"/>
        </w:rPr>
      </w:pPr>
      <w:r>
        <w:rPr>
          <w:rFonts w:hint="eastAsia" w:ascii="仿宋" w:hAnsi="仿宋" w:eastAsia="仿宋" w:cs="仿宋"/>
          <w:b/>
          <w:bCs/>
          <w:sz w:val="28"/>
          <w:szCs w:val="28"/>
        </w:rPr>
        <w:t>劳动力资源：</w:t>
      </w:r>
      <w:r>
        <w:rPr>
          <w:rFonts w:hint="eastAsia" w:ascii="仿宋" w:hAnsi="仿宋" w:eastAsia="仿宋" w:cs="仿宋"/>
          <w:sz w:val="28"/>
          <w:szCs w:val="28"/>
        </w:rPr>
        <w:t>近年来，由于龙岩市工业发展速度较快，普工、技工、专业技术人才和高级管理人员等均有不同幅度的短缺。</w:t>
      </w:r>
    </w:p>
    <w:p>
      <w:pPr>
        <w:pStyle w:val="4"/>
        <w:spacing w:before="240" w:after="120" w:line="415" w:lineRule="auto"/>
        <w:rPr>
          <w:rFonts w:ascii="仿宋" w:hAnsi="仿宋" w:eastAsia="仿宋" w:cs="Times New Roman"/>
          <w:sz w:val="28"/>
          <w:szCs w:val="28"/>
        </w:rPr>
      </w:pPr>
      <w:bookmarkStart w:id="34" w:name="_Toc70684647"/>
      <w:r>
        <w:rPr>
          <w:rFonts w:ascii="仿宋" w:hAnsi="仿宋" w:eastAsia="仿宋" w:cs="仿宋"/>
          <w:sz w:val="28"/>
          <w:szCs w:val="28"/>
        </w:rPr>
        <w:t>2.</w:t>
      </w:r>
      <w:r>
        <w:rPr>
          <w:rFonts w:hint="eastAsia" w:ascii="仿宋" w:hAnsi="仿宋" w:eastAsia="仿宋" w:cs="仿宋"/>
          <w:sz w:val="28"/>
          <w:szCs w:val="28"/>
        </w:rPr>
        <w:t>产业配套</w:t>
      </w:r>
      <w:bookmarkEnd w:id="34"/>
    </w:p>
    <w:p>
      <w:pPr>
        <w:spacing w:line="560" w:lineRule="exact"/>
        <w:ind w:firstLine="31680" w:firstLineChars="200"/>
        <w:rPr>
          <w:rFonts w:ascii="仿宋" w:hAnsi="仿宋" w:eastAsia="仿宋" w:cs="Times New Roman"/>
          <w:sz w:val="28"/>
          <w:szCs w:val="28"/>
        </w:rPr>
      </w:pPr>
      <w:r>
        <w:rPr>
          <w:rFonts w:hint="eastAsia" w:ascii="仿宋" w:hAnsi="仿宋" w:eastAsia="仿宋" w:cs="仿宋"/>
          <w:spacing w:val="-4"/>
          <w:sz w:val="28"/>
          <w:szCs w:val="28"/>
        </w:rPr>
        <w:t>依托龙头企业和核心产业，龙岩市在科技研发和产业配套等平台建设方面，已经具备较好的基础。其中金铜产业方面，已建成紫金国家重点实验室、上杭县有色金属技术研究院等科研平台，福建省有色金属产品质量检验中心和龙岩市金铜产业集群窗口等公共服务平台；稀土产业方面，金龙稀土公司建立了博士后工作站、省级企业技术中心</w:t>
      </w:r>
      <w:r>
        <w:rPr>
          <w:rFonts w:hint="eastAsia" w:ascii="仿宋" w:hAnsi="仿宋" w:eastAsia="仿宋" w:cs="仿宋"/>
          <w:sz w:val="28"/>
          <w:szCs w:val="28"/>
        </w:rPr>
        <w:t>。</w:t>
      </w:r>
    </w:p>
    <w:p>
      <w:pPr>
        <w:spacing w:line="590" w:lineRule="exact"/>
        <w:ind w:firstLine="31680" w:firstLineChars="200"/>
        <w:rPr>
          <w:rFonts w:ascii="仿宋" w:hAnsi="仿宋" w:eastAsia="仿宋" w:cs="Times New Roman"/>
          <w:sz w:val="28"/>
          <w:szCs w:val="28"/>
        </w:rPr>
      </w:pPr>
      <w:r>
        <w:rPr>
          <w:rFonts w:ascii="仿宋" w:hAnsi="仿宋" w:eastAsia="仿宋" w:cs="仿宋"/>
          <w:sz w:val="28"/>
          <w:szCs w:val="28"/>
        </w:rPr>
        <w:t>2012</w:t>
      </w:r>
      <w:r>
        <w:rPr>
          <w:rFonts w:hint="eastAsia" w:ascii="仿宋" w:hAnsi="仿宋" w:eastAsia="仿宋" w:cs="仿宋"/>
          <w:sz w:val="28"/>
          <w:szCs w:val="28"/>
        </w:rPr>
        <w:t>年底成立的龙岩市金铜产业协会，目前共有会员</w:t>
      </w:r>
      <w:r>
        <w:rPr>
          <w:rFonts w:ascii="仿宋" w:hAnsi="仿宋" w:eastAsia="仿宋" w:cs="仿宋"/>
          <w:sz w:val="28"/>
          <w:szCs w:val="28"/>
        </w:rPr>
        <w:t>71</w:t>
      </w:r>
      <w:r>
        <w:rPr>
          <w:rFonts w:hint="eastAsia" w:ascii="仿宋" w:hAnsi="仿宋" w:eastAsia="仿宋" w:cs="仿宋"/>
          <w:sz w:val="28"/>
          <w:szCs w:val="28"/>
        </w:rPr>
        <w:t>家。协会主要为会员企业提供信息咨询、技术创新、创业辅导、招商引资、企业推介、人才培训、成果对接等综合配套服务。</w:t>
      </w:r>
    </w:p>
    <w:p>
      <w:pPr>
        <w:spacing w:line="590" w:lineRule="exact"/>
        <w:ind w:firstLine="31680" w:firstLineChars="200"/>
        <w:rPr>
          <w:rFonts w:ascii="仿宋" w:hAnsi="仿宋" w:eastAsia="仿宋" w:cs="Times New Roman"/>
          <w:sz w:val="28"/>
          <w:szCs w:val="28"/>
        </w:rPr>
      </w:pPr>
      <w:r>
        <w:rPr>
          <w:rFonts w:hint="eastAsia" w:ascii="仿宋" w:hAnsi="仿宋" w:eastAsia="仿宋" w:cs="仿宋"/>
          <w:sz w:val="28"/>
          <w:szCs w:val="28"/>
        </w:rPr>
        <w:t>此外，在工业转型、科技创新、人才引进和培养等方面，均有相应的配套政策支持。</w:t>
      </w:r>
    </w:p>
    <w:p>
      <w:pPr>
        <w:pStyle w:val="4"/>
        <w:spacing w:before="240" w:after="120" w:line="415" w:lineRule="auto"/>
        <w:rPr>
          <w:rFonts w:ascii="仿宋" w:hAnsi="仿宋" w:eastAsia="仿宋" w:cs="Times New Roman"/>
          <w:sz w:val="28"/>
          <w:szCs w:val="28"/>
        </w:rPr>
      </w:pPr>
      <w:bookmarkStart w:id="35" w:name="_Toc70684648"/>
      <w:r>
        <w:rPr>
          <w:rFonts w:ascii="仿宋" w:hAnsi="仿宋" w:eastAsia="仿宋" w:cs="仿宋"/>
          <w:sz w:val="28"/>
          <w:szCs w:val="28"/>
        </w:rPr>
        <w:t>3.</w:t>
      </w:r>
      <w:r>
        <w:rPr>
          <w:rFonts w:hint="eastAsia" w:ascii="仿宋" w:hAnsi="仿宋" w:eastAsia="仿宋" w:cs="仿宋"/>
          <w:sz w:val="28"/>
          <w:szCs w:val="28"/>
        </w:rPr>
        <w:t>优势与不足</w:t>
      </w:r>
      <w:bookmarkEnd w:id="35"/>
    </w:p>
    <w:p>
      <w:pPr>
        <w:spacing w:line="590" w:lineRule="exact"/>
        <w:ind w:firstLine="31680" w:firstLineChars="200"/>
        <w:rPr>
          <w:rFonts w:ascii="仿宋" w:hAnsi="仿宋" w:eastAsia="仿宋" w:cs="Times New Roman"/>
          <w:b/>
          <w:bCs/>
          <w:sz w:val="28"/>
          <w:szCs w:val="28"/>
        </w:rPr>
      </w:pPr>
      <w:r>
        <w:rPr>
          <w:rFonts w:hint="eastAsia" w:ascii="仿宋" w:hAnsi="仿宋" w:eastAsia="仿宋" w:cs="仿宋"/>
          <w:b/>
          <w:bCs/>
          <w:sz w:val="28"/>
          <w:szCs w:val="28"/>
        </w:rPr>
        <w:t>（</w:t>
      </w:r>
      <w:r>
        <w:rPr>
          <w:rFonts w:ascii="仿宋" w:hAnsi="仿宋" w:eastAsia="仿宋" w:cs="仿宋"/>
          <w:b/>
          <w:bCs/>
          <w:sz w:val="28"/>
          <w:szCs w:val="28"/>
        </w:rPr>
        <w:t>1</w:t>
      </w:r>
      <w:r>
        <w:rPr>
          <w:rFonts w:hint="eastAsia" w:ascii="仿宋" w:hAnsi="仿宋" w:eastAsia="仿宋" w:cs="仿宋"/>
          <w:b/>
          <w:bCs/>
          <w:sz w:val="28"/>
          <w:szCs w:val="28"/>
        </w:rPr>
        <w:t>）优势</w:t>
      </w:r>
    </w:p>
    <w:p>
      <w:pPr>
        <w:spacing w:line="540" w:lineRule="exact"/>
        <w:ind w:firstLine="31680" w:firstLineChars="200"/>
        <w:rPr>
          <w:rFonts w:ascii="仿宋" w:hAnsi="仿宋" w:eastAsia="仿宋" w:cs="Times New Roman"/>
          <w:sz w:val="28"/>
          <w:szCs w:val="28"/>
        </w:rPr>
      </w:pPr>
      <w:r>
        <w:rPr>
          <w:rFonts w:hint="eastAsia" w:ascii="仿宋" w:hAnsi="仿宋" w:eastAsia="仿宋" w:cs="仿宋"/>
          <w:b/>
          <w:bCs/>
          <w:sz w:val="28"/>
          <w:szCs w:val="28"/>
        </w:rPr>
        <w:t>区位优势</w:t>
      </w:r>
      <w:r>
        <w:rPr>
          <w:rFonts w:hint="eastAsia" w:ascii="仿宋" w:hAnsi="仿宋" w:eastAsia="仿宋" w:cs="仿宋"/>
          <w:sz w:val="28"/>
          <w:szCs w:val="28"/>
        </w:rPr>
        <w:t>：龙岩市地处海峡西岸经济区，位于闽粤赣三省结合部，南接珠三角、西联内陆腹地，是内陆地区东出台湾海峡的交通要道，具有一定的区位优势。</w:t>
      </w:r>
    </w:p>
    <w:p>
      <w:pPr>
        <w:spacing w:line="540" w:lineRule="exact"/>
        <w:ind w:firstLine="31680" w:firstLineChars="200"/>
        <w:rPr>
          <w:rFonts w:ascii="仿宋" w:hAnsi="仿宋" w:eastAsia="仿宋" w:cs="Times New Roman"/>
          <w:sz w:val="28"/>
          <w:szCs w:val="28"/>
        </w:rPr>
      </w:pPr>
      <w:r>
        <w:rPr>
          <w:rFonts w:hint="eastAsia" w:ascii="仿宋" w:hAnsi="仿宋" w:eastAsia="仿宋" w:cs="仿宋"/>
          <w:b/>
          <w:bCs/>
          <w:sz w:val="28"/>
          <w:szCs w:val="28"/>
        </w:rPr>
        <w:t>基础设施较为完善</w:t>
      </w:r>
      <w:r>
        <w:rPr>
          <w:rFonts w:hint="eastAsia" w:ascii="仿宋" w:hAnsi="仿宋" w:eastAsia="仿宋" w:cs="仿宋"/>
          <w:sz w:val="28"/>
          <w:szCs w:val="28"/>
        </w:rPr>
        <w:t>。交通相对便利，航空、高铁和高速公路等基础设施均具备，且仍在不断提升；水、电等生产要素供应充裕。</w:t>
      </w:r>
    </w:p>
    <w:p>
      <w:pPr>
        <w:spacing w:line="540" w:lineRule="exact"/>
        <w:ind w:firstLine="31680" w:firstLineChars="200"/>
        <w:rPr>
          <w:rFonts w:ascii="仿宋" w:hAnsi="仿宋" w:eastAsia="仿宋" w:cs="Times New Roman"/>
          <w:sz w:val="28"/>
          <w:szCs w:val="28"/>
        </w:rPr>
      </w:pPr>
      <w:r>
        <w:rPr>
          <w:rFonts w:hint="eastAsia" w:ascii="仿宋" w:hAnsi="仿宋" w:eastAsia="仿宋" w:cs="仿宋"/>
          <w:b/>
          <w:bCs/>
          <w:sz w:val="28"/>
          <w:szCs w:val="28"/>
        </w:rPr>
        <w:t>原料供应优势</w:t>
      </w:r>
      <w:r>
        <w:rPr>
          <w:rFonts w:hint="eastAsia" w:ascii="仿宋" w:hAnsi="仿宋" w:eastAsia="仿宋" w:cs="仿宋"/>
          <w:sz w:val="28"/>
          <w:szCs w:val="28"/>
        </w:rPr>
        <w:t>。金、铜、稀土、钨等矿山采选和冶炼项目为当地的有色金属产业发展提供了原料供应保障。</w:t>
      </w:r>
    </w:p>
    <w:p>
      <w:pPr>
        <w:spacing w:line="540" w:lineRule="exact"/>
        <w:ind w:firstLine="31680" w:firstLineChars="200"/>
        <w:rPr>
          <w:rFonts w:ascii="仿宋" w:hAnsi="仿宋" w:eastAsia="仿宋" w:cs="Times New Roman"/>
          <w:sz w:val="28"/>
          <w:szCs w:val="28"/>
        </w:rPr>
      </w:pPr>
      <w:r>
        <w:rPr>
          <w:rFonts w:hint="eastAsia" w:ascii="仿宋" w:hAnsi="仿宋" w:eastAsia="仿宋" w:cs="仿宋"/>
          <w:b/>
          <w:bCs/>
          <w:sz w:val="28"/>
          <w:szCs w:val="28"/>
        </w:rPr>
        <w:t>产业集群和龙头企业引领优势</w:t>
      </w:r>
      <w:r>
        <w:rPr>
          <w:rFonts w:hint="eastAsia" w:ascii="仿宋" w:hAnsi="仿宋" w:eastAsia="仿宋" w:cs="仿宋"/>
          <w:sz w:val="28"/>
          <w:szCs w:val="28"/>
        </w:rPr>
        <w:t>。目前，龙岩市有色金属产值已达到千亿规模，形成了金铜、稀土、钨等有色金属矿山采选、冶炼、精深加工等产业链条，正在朝产业链上下游两端细化延伸，产业集群优势逐渐显现。紫金矿业、金龙稀土等知名龙头企业对当地的金铜、稀土产业形成了较好的引领发展左右。</w:t>
      </w:r>
    </w:p>
    <w:p>
      <w:pPr>
        <w:spacing w:line="540" w:lineRule="exact"/>
        <w:ind w:firstLine="31680" w:firstLineChars="200"/>
        <w:rPr>
          <w:rFonts w:ascii="仿宋" w:hAnsi="仿宋" w:eastAsia="仿宋" w:cs="Times New Roman"/>
          <w:sz w:val="28"/>
          <w:szCs w:val="28"/>
        </w:rPr>
      </w:pPr>
      <w:r>
        <w:rPr>
          <w:rFonts w:hint="eastAsia" w:ascii="仿宋" w:hAnsi="仿宋" w:eastAsia="仿宋" w:cs="仿宋"/>
          <w:b/>
          <w:bCs/>
          <w:sz w:val="28"/>
          <w:szCs w:val="28"/>
        </w:rPr>
        <w:t>产业配套优势</w:t>
      </w:r>
      <w:r>
        <w:rPr>
          <w:rFonts w:hint="eastAsia" w:ascii="仿宋" w:hAnsi="仿宋" w:eastAsia="仿宋" w:cs="仿宋"/>
          <w:sz w:val="28"/>
          <w:szCs w:val="28"/>
        </w:rPr>
        <w:t>。龙岩市已基本搭建了行业协会、产业集群窗口服务平台、物流配套体系、一站式窗口服务、有色金属检验检测中心、国家级企业技术中心、技术研究院等产业配套。</w:t>
      </w:r>
    </w:p>
    <w:p>
      <w:pPr>
        <w:spacing w:line="540" w:lineRule="exact"/>
        <w:ind w:firstLine="31680" w:firstLineChars="200"/>
        <w:rPr>
          <w:rFonts w:ascii="仿宋" w:hAnsi="仿宋" w:eastAsia="仿宋" w:cs="Times New Roman"/>
          <w:sz w:val="28"/>
          <w:szCs w:val="28"/>
        </w:rPr>
      </w:pPr>
      <w:r>
        <w:rPr>
          <w:rFonts w:hint="eastAsia" w:ascii="仿宋" w:hAnsi="仿宋" w:eastAsia="仿宋" w:cs="仿宋"/>
          <w:b/>
          <w:bCs/>
          <w:sz w:val="28"/>
          <w:szCs w:val="28"/>
        </w:rPr>
        <w:t>中央苏区县和军民融合优势</w:t>
      </w:r>
      <w:r>
        <w:rPr>
          <w:rFonts w:hint="eastAsia" w:ascii="仿宋" w:hAnsi="仿宋" w:eastAsia="仿宋" w:cs="仿宋"/>
          <w:sz w:val="28"/>
          <w:szCs w:val="28"/>
        </w:rPr>
        <w:t>。龙岩市是著名的革命老区，七个县（市、区）均为原中央苏区县，在获得中央财政等政策支持的同时，也有利于军民融合在有色金属产业的推进。</w:t>
      </w:r>
    </w:p>
    <w:p>
      <w:pPr>
        <w:spacing w:line="590" w:lineRule="exact"/>
        <w:ind w:firstLine="31680" w:firstLineChars="200"/>
        <w:rPr>
          <w:rFonts w:ascii="仿宋" w:hAnsi="仿宋" w:eastAsia="仿宋" w:cs="Times New Roman"/>
          <w:b/>
          <w:bCs/>
          <w:sz w:val="28"/>
          <w:szCs w:val="28"/>
        </w:rPr>
      </w:pPr>
      <w:r>
        <w:rPr>
          <w:rFonts w:hint="eastAsia" w:ascii="仿宋" w:hAnsi="仿宋" w:eastAsia="仿宋" w:cs="仿宋"/>
          <w:b/>
          <w:bCs/>
          <w:sz w:val="28"/>
          <w:szCs w:val="28"/>
        </w:rPr>
        <w:t>（</w:t>
      </w:r>
      <w:r>
        <w:rPr>
          <w:rFonts w:ascii="仿宋" w:hAnsi="仿宋" w:eastAsia="仿宋" w:cs="仿宋"/>
          <w:b/>
          <w:bCs/>
          <w:sz w:val="28"/>
          <w:szCs w:val="28"/>
        </w:rPr>
        <w:t>2</w:t>
      </w:r>
      <w:r>
        <w:rPr>
          <w:rFonts w:hint="eastAsia" w:ascii="仿宋" w:hAnsi="仿宋" w:eastAsia="仿宋" w:cs="仿宋"/>
          <w:b/>
          <w:bCs/>
          <w:sz w:val="28"/>
          <w:szCs w:val="28"/>
        </w:rPr>
        <w:t>）不足</w:t>
      </w:r>
    </w:p>
    <w:p>
      <w:pPr>
        <w:spacing w:line="540" w:lineRule="exact"/>
        <w:ind w:firstLine="31680" w:firstLineChars="200"/>
        <w:rPr>
          <w:rFonts w:ascii="仿宋" w:hAnsi="仿宋" w:eastAsia="仿宋" w:cs="Times New Roman"/>
          <w:sz w:val="28"/>
          <w:szCs w:val="28"/>
        </w:rPr>
      </w:pPr>
      <w:r>
        <w:rPr>
          <w:rFonts w:hint="eastAsia" w:ascii="仿宋" w:hAnsi="仿宋" w:eastAsia="仿宋" w:cs="仿宋"/>
          <w:b/>
          <w:bCs/>
          <w:sz w:val="28"/>
          <w:szCs w:val="28"/>
        </w:rPr>
        <w:t>下游深加工产业规模偏小、产业链延伸不够</w:t>
      </w:r>
      <w:r>
        <w:rPr>
          <w:rFonts w:hint="eastAsia" w:ascii="仿宋" w:hAnsi="仿宋" w:eastAsia="仿宋" w:cs="仿宋"/>
          <w:sz w:val="28"/>
          <w:szCs w:val="28"/>
        </w:rPr>
        <w:t>。与金、铜、稀土等矿山采选和冶炼业务是龙岩市有色金属产值的主要构成，尤其是黄金冶炼的产值，占比超过一半，当地的金铜加工产业规模偏小，</w:t>
      </w:r>
      <w:r>
        <w:rPr>
          <w:rFonts w:ascii="仿宋" w:hAnsi="仿宋" w:eastAsia="仿宋" w:cs="仿宋"/>
          <w:sz w:val="28"/>
          <w:szCs w:val="28"/>
        </w:rPr>
        <w:t>2020</w:t>
      </w:r>
      <w:r>
        <w:rPr>
          <w:rFonts w:hint="eastAsia" w:ascii="仿宋" w:hAnsi="仿宋" w:eastAsia="仿宋" w:cs="仿宋"/>
          <w:sz w:val="28"/>
          <w:szCs w:val="28"/>
        </w:rPr>
        <w:t>年金铜加工产值仅为金铜冶炼产值的</w:t>
      </w:r>
      <w:r>
        <w:rPr>
          <w:rFonts w:ascii="仿宋" w:hAnsi="仿宋" w:eastAsia="仿宋" w:cs="仿宋"/>
          <w:sz w:val="28"/>
          <w:szCs w:val="28"/>
        </w:rPr>
        <w:t>15%</w:t>
      </w:r>
      <w:r>
        <w:rPr>
          <w:rFonts w:hint="eastAsia" w:ascii="仿宋" w:hAnsi="仿宋" w:eastAsia="仿宋" w:cs="仿宋"/>
          <w:sz w:val="28"/>
          <w:szCs w:val="28"/>
        </w:rPr>
        <w:t>作用，显示产业链前端大、后端小，上下游配套不足，产业链向下游延伸不够。</w:t>
      </w:r>
    </w:p>
    <w:p>
      <w:pPr>
        <w:spacing w:line="560" w:lineRule="exact"/>
        <w:ind w:firstLine="31680" w:firstLineChars="200"/>
        <w:rPr>
          <w:rFonts w:ascii="仿宋" w:hAnsi="仿宋" w:eastAsia="仿宋" w:cs="Times New Roman"/>
          <w:sz w:val="28"/>
          <w:szCs w:val="28"/>
        </w:rPr>
      </w:pPr>
      <w:r>
        <w:rPr>
          <w:rFonts w:hint="eastAsia" w:ascii="仿宋" w:hAnsi="仿宋" w:eastAsia="仿宋" w:cs="仿宋"/>
          <w:b/>
          <w:bCs/>
          <w:sz w:val="28"/>
          <w:szCs w:val="28"/>
        </w:rPr>
        <w:t>有色精深加工产品研发能力不足</w:t>
      </w:r>
      <w:r>
        <w:rPr>
          <w:rFonts w:hint="eastAsia" w:ascii="仿宋" w:hAnsi="仿宋" w:eastAsia="仿宋" w:cs="仿宋"/>
          <w:sz w:val="28"/>
          <w:szCs w:val="28"/>
        </w:rPr>
        <w:t>。龙岩市在金铜矿采选和冶炼等方面具有较为深厚的技术积淀，建有紫金国家重点实验室、金龙稀土公司升级企业技术中心等，但在下游有色金属合金材料与深加工等方面，高端技术人才和科技研发能力较为不足。</w:t>
      </w:r>
    </w:p>
    <w:p>
      <w:pPr>
        <w:spacing w:line="540" w:lineRule="exact"/>
        <w:ind w:firstLine="31680" w:firstLineChars="200"/>
        <w:rPr>
          <w:rFonts w:ascii="仿宋" w:hAnsi="仿宋" w:eastAsia="仿宋" w:cs="Times New Roman"/>
        </w:rPr>
      </w:pPr>
      <w:r>
        <w:rPr>
          <w:rFonts w:hint="eastAsia" w:ascii="仿宋" w:hAnsi="仿宋" w:eastAsia="仿宋" w:cs="仿宋"/>
          <w:b/>
          <w:bCs/>
          <w:sz w:val="28"/>
          <w:szCs w:val="28"/>
        </w:rPr>
        <w:t>项目用地和劳动力紧张</w:t>
      </w:r>
      <w:r>
        <w:rPr>
          <w:rFonts w:hint="eastAsia" w:ascii="仿宋" w:hAnsi="仿宋" w:eastAsia="仿宋" w:cs="仿宋"/>
          <w:sz w:val="28"/>
          <w:szCs w:val="28"/>
        </w:rPr>
        <w:t>。龙岩市是典型的丘陵地貌，建设用地有限且土地平整成本较高，随着众多项目的陆续入驻，项目用地开始出现紧张，同时，部分工业区距离县城有一定距离且生活配套等设施较为缺乏，对年轻劳动力的吸引不够，人力资源供应也较为紧张。</w:t>
      </w:r>
    </w:p>
    <w:p>
      <w:pPr>
        <w:pStyle w:val="2"/>
        <w:spacing w:before="120" w:after="120" w:line="240" w:lineRule="auto"/>
        <w:rPr>
          <w:rFonts w:ascii="黑体" w:hAnsi="黑体" w:eastAsia="黑体" w:cs="Times New Roman"/>
          <w:b w:val="0"/>
          <w:bCs w:val="0"/>
          <w:sz w:val="28"/>
          <w:szCs w:val="28"/>
        </w:rPr>
      </w:pPr>
      <w:bookmarkStart w:id="36" w:name="_Toc70684649"/>
      <w:r>
        <w:rPr>
          <w:rFonts w:hint="eastAsia" w:ascii="黑体" w:hAnsi="黑体" w:eastAsia="黑体" w:cs="黑体"/>
          <w:b w:val="0"/>
          <w:bCs w:val="0"/>
          <w:sz w:val="28"/>
          <w:szCs w:val="28"/>
        </w:rPr>
        <w:t>四、龙岩市“十四五”有色金属产业发展目标</w:t>
      </w:r>
      <w:bookmarkEnd w:id="36"/>
    </w:p>
    <w:p>
      <w:pPr>
        <w:pStyle w:val="3"/>
        <w:rPr>
          <w:rFonts w:ascii="仿宋" w:hAnsi="仿宋" w:eastAsia="仿宋" w:cs="Times New Roman"/>
          <w:sz w:val="28"/>
          <w:szCs w:val="28"/>
        </w:rPr>
      </w:pPr>
      <w:bookmarkStart w:id="37" w:name="_Toc70684650"/>
      <w:r>
        <w:rPr>
          <w:rFonts w:hint="eastAsia" w:ascii="仿宋" w:hAnsi="仿宋" w:eastAsia="仿宋" w:cs="仿宋"/>
          <w:sz w:val="28"/>
          <w:szCs w:val="28"/>
        </w:rPr>
        <w:t>（一）发展思路</w:t>
      </w:r>
      <w:bookmarkEnd w:id="37"/>
    </w:p>
    <w:p>
      <w:pPr>
        <w:ind w:firstLine="31680" w:firstLineChars="200"/>
        <w:rPr>
          <w:rFonts w:ascii="仿宋" w:hAnsi="仿宋" w:eastAsia="仿宋" w:cs="Times New Roman"/>
          <w:b/>
          <w:bCs/>
          <w:sz w:val="28"/>
          <w:szCs w:val="28"/>
        </w:rPr>
      </w:pPr>
      <w:r>
        <w:rPr>
          <w:rFonts w:hint="eastAsia" w:ascii="仿宋_GB2312" w:hAnsi="仿宋" w:eastAsia="仿宋_GB2312" w:cs="仿宋_GB2312"/>
          <w:sz w:val="28"/>
          <w:szCs w:val="28"/>
        </w:rPr>
        <w:t>以习近平新时代中国特色社会主义思想为指导，全面贯彻党的十九大和十九届二中、三中、四中、五中全会精神，深入贯彻落实习近平总书记对福建工作的重要讲话和重要指示批示精神，以创新发展理念为驱动，实现高质量发展，做大做强有色金属产业，为龙岩市构建“</w:t>
      </w:r>
      <w:r>
        <w:rPr>
          <w:rFonts w:ascii="仿宋_GB2312" w:hAnsi="仿宋" w:eastAsia="仿宋_GB2312" w:cs="仿宋_GB2312"/>
          <w:sz w:val="28"/>
          <w:szCs w:val="28"/>
        </w:rPr>
        <w:t>5+N</w:t>
      </w:r>
      <w:r>
        <w:rPr>
          <w:rFonts w:hint="eastAsia" w:ascii="仿宋_GB2312" w:hAnsi="仿宋" w:eastAsia="仿宋_GB2312" w:cs="仿宋_GB2312"/>
          <w:sz w:val="28"/>
          <w:szCs w:val="28"/>
        </w:rPr>
        <w:t>”产业集群提供重要支撑。</w:t>
      </w:r>
    </w:p>
    <w:p>
      <w:pPr>
        <w:spacing w:line="560" w:lineRule="exact"/>
        <w:ind w:firstLine="31680" w:firstLineChars="200"/>
        <w:rPr>
          <w:rFonts w:ascii="仿宋" w:hAnsi="仿宋" w:eastAsia="仿宋" w:cs="Times New Roman"/>
          <w:sz w:val="28"/>
          <w:szCs w:val="28"/>
        </w:rPr>
      </w:pPr>
      <w:r>
        <w:rPr>
          <w:rFonts w:hint="eastAsia" w:ascii="仿宋" w:hAnsi="仿宋" w:eastAsia="仿宋" w:cs="仿宋"/>
          <w:b/>
          <w:bCs/>
          <w:sz w:val="28"/>
          <w:szCs w:val="28"/>
        </w:rPr>
        <w:t>总体发展思路</w:t>
      </w:r>
      <w:r>
        <w:rPr>
          <w:rFonts w:hint="eastAsia" w:ascii="仿宋" w:hAnsi="仿宋" w:eastAsia="仿宋" w:cs="仿宋"/>
          <w:sz w:val="28"/>
          <w:szCs w:val="28"/>
        </w:rPr>
        <w:t>：在“十三五”实现千亿有色产业的基础上，按照龙岩市“</w:t>
      </w:r>
      <w:r>
        <w:rPr>
          <w:rFonts w:ascii="仿宋" w:hAnsi="仿宋" w:eastAsia="仿宋" w:cs="仿宋"/>
          <w:sz w:val="28"/>
          <w:szCs w:val="28"/>
        </w:rPr>
        <w:t>5+N</w:t>
      </w:r>
      <w:r>
        <w:rPr>
          <w:rFonts w:hint="eastAsia" w:ascii="仿宋" w:hAnsi="仿宋" w:eastAsia="仿宋" w:cs="仿宋"/>
          <w:sz w:val="28"/>
          <w:szCs w:val="28"/>
        </w:rPr>
        <w:t>”产业发展布局，围绕打造金铜产业绿色发展示范基地和创建国家稀土绿色生态循环经济产业园区，继续发挥金铜产业的引领作用，做大做强稀土产业，延伸发展钨等有色金属产业。具体而言，通过招商引资延链补链，继续扩大产业规模；通过产业发展指导目录等形式，引导战略新兴产业和“新基建”等所需中高端有色金属材料加工项目发展，优化升级产业结构，提升产业发展质量；通过成立和建设专业材料加工研究院、科技孵化中心、仓储物流中心、供应链金融中心、冶金设备修造和模具制造中心等，提升产业创新和配套能力。将龙岩市以金铜、稀土和钨等品种为主的有色金属产业，打造成为国内知名、福建省最大的有色金属产业集群。</w:t>
      </w:r>
    </w:p>
    <w:p>
      <w:pPr>
        <w:spacing w:line="560" w:lineRule="exact"/>
        <w:ind w:firstLine="31680" w:firstLineChars="200"/>
        <w:rPr>
          <w:rFonts w:ascii="仿宋" w:hAnsi="仿宋" w:eastAsia="仿宋" w:cs="Times New Roman"/>
          <w:b/>
          <w:bCs/>
          <w:sz w:val="28"/>
          <w:szCs w:val="28"/>
        </w:rPr>
      </w:pPr>
      <w:r>
        <w:rPr>
          <w:rFonts w:hint="eastAsia" w:ascii="仿宋" w:hAnsi="仿宋" w:eastAsia="仿宋" w:cs="仿宋"/>
          <w:b/>
          <w:bCs/>
          <w:sz w:val="28"/>
          <w:szCs w:val="28"/>
        </w:rPr>
        <w:t>主要品种发展思路：</w:t>
      </w:r>
    </w:p>
    <w:p>
      <w:pPr>
        <w:spacing w:line="560" w:lineRule="exact"/>
        <w:ind w:firstLine="31680" w:firstLineChars="200"/>
        <w:rPr>
          <w:rFonts w:ascii="仿宋" w:hAnsi="仿宋" w:eastAsia="仿宋" w:cs="Times New Roman"/>
          <w:sz w:val="28"/>
          <w:szCs w:val="28"/>
        </w:rPr>
      </w:pPr>
      <w:r>
        <w:rPr>
          <w:rFonts w:hint="eastAsia" w:ascii="仿宋" w:hAnsi="仿宋" w:eastAsia="仿宋" w:cs="仿宋"/>
          <w:b/>
          <w:bCs/>
          <w:sz w:val="28"/>
          <w:szCs w:val="28"/>
        </w:rPr>
        <w:t>铜</w:t>
      </w:r>
      <w:r>
        <w:rPr>
          <w:rFonts w:hint="eastAsia" w:ascii="仿宋" w:hAnsi="仿宋" w:eastAsia="仿宋" w:cs="仿宋"/>
          <w:sz w:val="28"/>
          <w:szCs w:val="28"/>
        </w:rPr>
        <w:t>：</w:t>
      </w:r>
      <w:r>
        <w:rPr>
          <w:rFonts w:hint="eastAsia" w:ascii="仿宋" w:hAnsi="仿宋" w:eastAsia="仿宋" w:cs="仿宋"/>
          <w:spacing w:val="-2"/>
          <w:sz w:val="28"/>
          <w:szCs w:val="28"/>
        </w:rPr>
        <w:t>保持铜粗炼产能不变，鼓励紫金矿业利用境外粗铜原料，适度扩大铜精炼产能，满足当地的电铜原料需求；继续发展输配电、水暖卫浴、电子信息、交通运输等传统行业用铜材，扩大铜加工产业规模，同时，“新基建”围绕</w:t>
      </w:r>
      <w:r>
        <w:rPr>
          <w:rFonts w:ascii="仿宋" w:hAnsi="仿宋" w:eastAsia="仿宋" w:cs="仿宋"/>
          <w:spacing w:val="-2"/>
          <w:sz w:val="28"/>
          <w:szCs w:val="28"/>
        </w:rPr>
        <w:t>5G</w:t>
      </w:r>
      <w:r>
        <w:rPr>
          <w:rFonts w:hint="eastAsia" w:ascii="仿宋" w:hAnsi="仿宋" w:eastAsia="仿宋" w:cs="仿宋"/>
          <w:spacing w:val="-2"/>
          <w:sz w:val="28"/>
          <w:szCs w:val="28"/>
        </w:rPr>
        <w:t>、物联网、新能源汽车等新兴产业和军工行业，大力发展高精铜板带、高精铜箔（电解和压延铜箔）、高精电磁线、超细微线等高附加值铜加工材，并向动力锂电池（含正负极材料）、充电桩、</w:t>
      </w:r>
      <w:r>
        <w:rPr>
          <w:rFonts w:ascii="仿宋" w:hAnsi="仿宋" w:eastAsia="仿宋" w:cs="仿宋"/>
          <w:spacing w:val="-2"/>
          <w:sz w:val="28"/>
          <w:szCs w:val="28"/>
        </w:rPr>
        <w:t>5G</w:t>
      </w:r>
      <w:r>
        <w:rPr>
          <w:rFonts w:hint="eastAsia" w:ascii="仿宋" w:hAnsi="仿宋" w:eastAsia="仿宋" w:cs="仿宋"/>
          <w:spacing w:val="-2"/>
          <w:sz w:val="28"/>
          <w:szCs w:val="28"/>
        </w:rPr>
        <w:t>通信配件、印制电路板、特种电缆等终端产品延伸，打造规模效益型的铜加工产业链</w:t>
      </w:r>
      <w:r>
        <w:rPr>
          <w:rFonts w:hint="eastAsia" w:ascii="仿宋" w:hAnsi="仿宋" w:eastAsia="仿宋" w:cs="仿宋"/>
          <w:sz w:val="28"/>
          <w:szCs w:val="28"/>
        </w:rPr>
        <w:t>。</w:t>
      </w:r>
    </w:p>
    <w:p>
      <w:pPr>
        <w:spacing w:line="560" w:lineRule="exact"/>
        <w:ind w:firstLine="31680" w:firstLineChars="200"/>
        <w:rPr>
          <w:rFonts w:ascii="仿宋" w:hAnsi="仿宋" w:eastAsia="仿宋" w:cs="Times New Roman"/>
          <w:sz w:val="28"/>
          <w:szCs w:val="28"/>
        </w:rPr>
      </w:pPr>
      <w:r>
        <w:rPr>
          <w:rFonts w:hint="eastAsia" w:ascii="仿宋" w:hAnsi="仿宋" w:eastAsia="仿宋" w:cs="仿宋"/>
          <w:sz w:val="28"/>
          <w:szCs w:val="28"/>
        </w:rPr>
        <w:t>大力发展循环经济，一方面，在“吃干榨尽、绿色发展”的基础上，强化对冶炼渣和副产品硫酸的延伸利用，并发展高附加值含磷新材料和含氟新材料，实现资源综合利用并延伸高附加值产业链；另一方面，要加强对再生铜的回收利用产业，拓宽原料渠道并实现绿色低碳发展。</w:t>
      </w:r>
    </w:p>
    <w:p>
      <w:pPr>
        <w:spacing w:line="560" w:lineRule="exact"/>
        <w:ind w:firstLine="31680" w:firstLineChars="200"/>
        <w:rPr>
          <w:rFonts w:ascii="仿宋" w:hAnsi="仿宋" w:eastAsia="仿宋" w:cs="Times New Roman"/>
          <w:sz w:val="28"/>
          <w:szCs w:val="28"/>
        </w:rPr>
      </w:pPr>
      <w:r>
        <w:rPr>
          <w:rFonts w:hint="eastAsia" w:ascii="仿宋" w:hAnsi="仿宋" w:eastAsia="仿宋" w:cs="仿宋"/>
          <w:b/>
          <w:bCs/>
          <w:sz w:val="28"/>
          <w:szCs w:val="28"/>
        </w:rPr>
        <w:t>金等稀贵金属：</w:t>
      </w:r>
      <w:r>
        <w:rPr>
          <w:rFonts w:hint="eastAsia" w:ascii="仿宋" w:hAnsi="仿宋" w:eastAsia="仿宋" w:cs="仿宋"/>
          <w:sz w:val="28"/>
          <w:szCs w:val="28"/>
        </w:rPr>
        <w:t>依托当地的金银等稀贵金属原料和紫金矿业的龙头带动作用，围绕黄金珠宝加工、电子信息、光伏能源、燃料动力汽车、健康卫浴等产业，大力发展贵金属首饰和投资品、电接触材料、贵金属化工材料、催化功能材料、抗菌材料等高附加值产品，丰富稀贵金属深加工产品，延伸稀贵金属产业链。</w:t>
      </w:r>
    </w:p>
    <w:p>
      <w:pPr>
        <w:spacing w:line="560" w:lineRule="exact"/>
        <w:ind w:firstLine="31680" w:firstLineChars="200"/>
        <w:rPr>
          <w:rFonts w:ascii="仿宋" w:hAnsi="仿宋" w:eastAsia="仿宋" w:cs="Times New Roman"/>
          <w:kern w:val="0"/>
          <w:sz w:val="28"/>
          <w:szCs w:val="28"/>
        </w:rPr>
      </w:pPr>
      <w:r>
        <w:rPr>
          <w:rFonts w:hint="eastAsia" w:ascii="仿宋" w:hAnsi="仿宋" w:eastAsia="仿宋" w:cs="仿宋"/>
          <w:b/>
          <w:bCs/>
          <w:sz w:val="28"/>
          <w:szCs w:val="28"/>
        </w:rPr>
        <w:t>稀土</w:t>
      </w:r>
      <w:r>
        <w:rPr>
          <w:rFonts w:hint="eastAsia" w:ascii="仿宋" w:hAnsi="仿宋" w:eastAsia="仿宋" w:cs="仿宋"/>
          <w:sz w:val="28"/>
          <w:szCs w:val="28"/>
        </w:rPr>
        <w:t>：</w:t>
      </w:r>
      <w:r>
        <w:rPr>
          <w:rFonts w:hint="eastAsia" w:ascii="仿宋" w:hAnsi="仿宋" w:eastAsia="仿宋" w:cs="仿宋"/>
          <w:kern w:val="0"/>
          <w:sz w:val="28"/>
          <w:szCs w:val="28"/>
        </w:rPr>
        <w:t>依托龙岩稀土工业园这一产业集聚平台，以产业链重点项目为抓手，以科技创新、体制机制创新为动力，突破现有资源约束，统筹全球稀土资源，形成创新和孵化能力强、上下游融合紧密、市场竞争力强、价值链高端的产业体系，建设全国稀土高新技术产业示范基地。</w:t>
      </w:r>
    </w:p>
    <w:p>
      <w:pPr>
        <w:spacing w:line="560" w:lineRule="exact"/>
        <w:ind w:firstLine="31680" w:firstLineChars="200"/>
        <w:rPr>
          <w:rFonts w:ascii="仿宋" w:hAnsi="仿宋" w:eastAsia="仿宋" w:cs="Times New Roman"/>
          <w:kern w:val="0"/>
          <w:sz w:val="28"/>
          <w:szCs w:val="28"/>
        </w:rPr>
      </w:pPr>
      <w:r>
        <w:rPr>
          <w:rFonts w:hint="eastAsia" w:ascii="仿宋" w:hAnsi="仿宋" w:eastAsia="仿宋" w:cs="仿宋"/>
          <w:kern w:val="0"/>
          <w:sz w:val="28"/>
          <w:szCs w:val="28"/>
        </w:rPr>
        <w:t>紧跟</w:t>
      </w:r>
      <w:r>
        <w:rPr>
          <w:rFonts w:ascii="仿宋" w:hAnsi="仿宋" w:eastAsia="仿宋" w:cs="仿宋"/>
          <w:kern w:val="0"/>
          <w:sz w:val="28"/>
          <w:szCs w:val="28"/>
        </w:rPr>
        <w:t>5G</w:t>
      </w:r>
      <w:r>
        <w:rPr>
          <w:rFonts w:hint="eastAsia" w:ascii="仿宋" w:hAnsi="仿宋" w:eastAsia="仿宋" w:cs="仿宋"/>
          <w:kern w:val="0"/>
          <w:sz w:val="28"/>
          <w:szCs w:val="28"/>
        </w:rPr>
        <w:t>引领下的全球智能化浪潮发展趋势和以新型显示为重点的信息产业的发展步伐，推进稀土产业向集约化、高端化的新型产业链发展。不断巩固高性能稀土永磁材料的竞争优势，发展新能源智能汽车、智能家具、智能终端用永磁电机；强强联合当地优势的特种汽车产业，从研发设计和需求端强化与稀土储氢材料的结合，扩大稀土储氢材料的应用，创新性发展燃料电池催化材料、制氢催化材料，向氢原料电池延伸；充分发挥龙岩市铜等有色金属产业的优势，大力发展稀土在新型铜、铝等金属合金中的应用；加强在高端稀土发光、稀土晶体、稀土膜材料和高纯稀土及合金靶材新材料的孵化和产业化。</w:t>
      </w:r>
    </w:p>
    <w:p>
      <w:pPr>
        <w:spacing w:line="560" w:lineRule="exact"/>
        <w:ind w:firstLine="31680" w:firstLineChars="196"/>
        <w:rPr>
          <w:rFonts w:ascii="仿宋" w:hAnsi="仿宋" w:eastAsia="仿宋" w:cs="Times New Roman"/>
          <w:sz w:val="28"/>
          <w:szCs w:val="28"/>
        </w:rPr>
      </w:pPr>
      <w:r>
        <w:rPr>
          <w:rFonts w:hint="eastAsia" w:ascii="仿宋" w:hAnsi="仿宋" w:eastAsia="仿宋" w:cs="仿宋"/>
          <w:b/>
          <w:bCs/>
          <w:sz w:val="28"/>
          <w:szCs w:val="28"/>
        </w:rPr>
        <w:t>钨</w:t>
      </w:r>
      <w:r>
        <w:rPr>
          <w:rFonts w:hint="eastAsia" w:ascii="仿宋" w:hAnsi="仿宋" w:eastAsia="仿宋" w:cs="仿宋"/>
          <w:sz w:val="28"/>
          <w:szCs w:val="28"/>
        </w:rPr>
        <w:t>：国内钨冶炼产能过剩，因此不建议引进钨冶炼企业。未来硬质合金及工具产业有较大发展潜力，要依托厦门钨业的钨粉及硬质合金产品优势，引进优质硬质合金及配套企业，包括产品具有特色的企业、国内龙头企业、国际先进企业、加工工具及配套企业等，推动钨产业向价值链高端发展。重点向高性能硬质合金、硬质合金刀片及整体工具等方向发展，在硬质合金非标异型件、钨合金、数控刀片刀具、盾构齿、硬面材料、耐磨零件以及配套工具等细分领域延伸产业链。</w:t>
      </w:r>
    </w:p>
    <w:p>
      <w:pPr>
        <w:spacing w:line="560" w:lineRule="exact"/>
        <w:ind w:firstLine="31680" w:firstLineChars="200"/>
        <w:rPr>
          <w:rFonts w:ascii="仿宋" w:hAnsi="仿宋" w:eastAsia="仿宋" w:cs="Times New Roman"/>
          <w:sz w:val="28"/>
          <w:szCs w:val="28"/>
        </w:rPr>
      </w:pPr>
      <w:r>
        <w:rPr>
          <w:rFonts w:hint="eastAsia" w:ascii="仿宋" w:hAnsi="仿宋" w:eastAsia="仿宋" w:cs="仿宋"/>
          <w:b/>
          <w:bCs/>
          <w:sz w:val="28"/>
          <w:szCs w:val="28"/>
        </w:rPr>
        <w:t>其他</w:t>
      </w:r>
      <w:r>
        <w:rPr>
          <w:rFonts w:hint="eastAsia" w:ascii="仿宋" w:hAnsi="仿宋" w:eastAsia="仿宋" w:cs="仿宋"/>
          <w:sz w:val="28"/>
          <w:szCs w:val="28"/>
        </w:rPr>
        <w:t>：择机发展其他有色金属产业，主要以现有品种为依托发展合金材料产品或发展当地装备制造业所需材料。随着有色金属产业的发展壮大，未来还需加强产业配套行业的发展，如材料研究、人才培训和引进、商品检测、设备和模具修造、仓储物流等，促进龙岩市有色金属产业高质高效发展。</w:t>
      </w:r>
    </w:p>
    <w:p>
      <w:pPr>
        <w:pStyle w:val="3"/>
        <w:rPr>
          <w:rFonts w:ascii="仿宋" w:hAnsi="仿宋" w:eastAsia="仿宋" w:cs="Times New Roman"/>
          <w:sz w:val="28"/>
          <w:szCs w:val="28"/>
        </w:rPr>
      </w:pPr>
      <w:bookmarkStart w:id="38" w:name="_Toc70684651"/>
      <w:r>
        <w:rPr>
          <w:rFonts w:hint="eastAsia" w:ascii="仿宋" w:hAnsi="仿宋" w:eastAsia="仿宋" w:cs="仿宋"/>
          <w:sz w:val="28"/>
          <w:szCs w:val="28"/>
        </w:rPr>
        <w:t>（二）发展目标</w:t>
      </w:r>
      <w:bookmarkEnd w:id="38"/>
    </w:p>
    <w:p>
      <w:pPr>
        <w:spacing w:line="540" w:lineRule="exact"/>
        <w:ind w:firstLine="31680" w:firstLineChars="200"/>
        <w:rPr>
          <w:rFonts w:ascii="仿宋" w:hAnsi="仿宋" w:eastAsia="仿宋" w:cs="Times New Roman"/>
          <w:sz w:val="28"/>
          <w:szCs w:val="28"/>
        </w:rPr>
      </w:pPr>
      <w:r>
        <w:rPr>
          <w:rFonts w:hint="eastAsia" w:ascii="仿宋" w:hAnsi="仿宋" w:eastAsia="仿宋" w:cs="仿宋"/>
          <w:sz w:val="28"/>
          <w:szCs w:val="28"/>
        </w:rPr>
        <w:t>按照龙岩市“</w:t>
      </w:r>
      <w:r>
        <w:rPr>
          <w:rFonts w:ascii="仿宋" w:hAnsi="仿宋" w:eastAsia="仿宋" w:cs="仿宋"/>
          <w:sz w:val="28"/>
          <w:szCs w:val="28"/>
        </w:rPr>
        <w:t>5+N</w:t>
      </w:r>
      <w:r>
        <w:rPr>
          <w:rFonts w:hint="eastAsia" w:ascii="仿宋" w:hAnsi="仿宋" w:eastAsia="仿宋" w:cs="仿宋"/>
          <w:sz w:val="28"/>
          <w:szCs w:val="28"/>
        </w:rPr>
        <w:t>”产业发展布局，继续深化金铜产业基地发展、强化稀土产业绿色发展基地。到</w:t>
      </w:r>
      <w:r>
        <w:rPr>
          <w:rFonts w:ascii="仿宋" w:hAnsi="仿宋" w:eastAsia="仿宋" w:cs="仿宋"/>
          <w:sz w:val="28"/>
          <w:szCs w:val="28"/>
        </w:rPr>
        <w:t>2025</w:t>
      </w:r>
      <w:r>
        <w:rPr>
          <w:rFonts w:hint="eastAsia" w:ascii="仿宋" w:hAnsi="仿宋" w:eastAsia="仿宋" w:cs="仿宋"/>
          <w:sz w:val="28"/>
          <w:szCs w:val="28"/>
        </w:rPr>
        <w:t>年，龙岩市有色金属产业总产值达到</w:t>
      </w:r>
      <w:r>
        <w:rPr>
          <w:rFonts w:ascii="仿宋" w:hAnsi="仿宋" w:eastAsia="仿宋" w:cs="仿宋"/>
          <w:sz w:val="28"/>
          <w:szCs w:val="28"/>
        </w:rPr>
        <w:t>1550</w:t>
      </w:r>
      <w:r>
        <w:rPr>
          <w:rFonts w:hint="eastAsia" w:ascii="仿宋" w:hAnsi="仿宋" w:eastAsia="仿宋" w:cs="仿宋"/>
          <w:sz w:val="28"/>
          <w:szCs w:val="28"/>
        </w:rPr>
        <w:t>亿元，其中金铜产业</w:t>
      </w:r>
      <w:r>
        <w:rPr>
          <w:rFonts w:ascii="仿宋" w:hAnsi="仿宋" w:eastAsia="仿宋" w:cs="仿宋"/>
          <w:sz w:val="28"/>
          <w:szCs w:val="28"/>
        </w:rPr>
        <w:t>1300</w:t>
      </w:r>
      <w:r>
        <w:rPr>
          <w:rFonts w:hint="eastAsia" w:ascii="仿宋" w:hAnsi="仿宋" w:eastAsia="仿宋" w:cs="仿宋"/>
          <w:sz w:val="28"/>
          <w:szCs w:val="28"/>
        </w:rPr>
        <w:t>亿元、稀土产业</w:t>
      </w:r>
      <w:r>
        <w:rPr>
          <w:rFonts w:ascii="仿宋" w:hAnsi="仿宋" w:eastAsia="仿宋" w:cs="仿宋"/>
          <w:sz w:val="28"/>
          <w:szCs w:val="28"/>
        </w:rPr>
        <w:t>200</w:t>
      </w:r>
      <w:r>
        <w:rPr>
          <w:rFonts w:hint="eastAsia" w:ascii="仿宋" w:hAnsi="仿宋" w:eastAsia="仿宋" w:cs="仿宋"/>
          <w:sz w:val="28"/>
          <w:szCs w:val="28"/>
        </w:rPr>
        <w:t>亿元、钨产业</w:t>
      </w:r>
      <w:r>
        <w:rPr>
          <w:rFonts w:ascii="仿宋" w:hAnsi="仿宋" w:eastAsia="仿宋" w:cs="仿宋"/>
          <w:sz w:val="28"/>
          <w:szCs w:val="28"/>
        </w:rPr>
        <w:t>40</w:t>
      </w:r>
      <w:r>
        <w:rPr>
          <w:rFonts w:hint="eastAsia" w:ascii="仿宋" w:hAnsi="仿宋" w:eastAsia="仿宋" w:cs="仿宋"/>
          <w:sz w:val="28"/>
          <w:szCs w:val="28"/>
        </w:rPr>
        <w:t>亿元、其他有色金属产业</w:t>
      </w:r>
      <w:r>
        <w:rPr>
          <w:rFonts w:ascii="仿宋" w:hAnsi="仿宋" w:eastAsia="仿宋" w:cs="仿宋"/>
          <w:sz w:val="28"/>
          <w:szCs w:val="28"/>
        </w:rPr>
        <w:t>10</w:t>
      </w:r>
      <w:r>
        <w:rPr>
          <w:rFonts w:hint="eastAsia" w:ascii="仿宋" w:hAnsi="仿宋" w:eastAsia="仿宋" w:cs="仿宋"/>
          <w:sz w:val="28"/>
          <w:szCs w:val="28"/>
        </w:rPr>
        <w:t>亿元。</w:t>
      </w:r>
    </w:p>
    <w:p>
      <w:pPr>
        <w:spacing w:line="540" w:lineRule="exact"/>
        <w:ind w:firstLine="31680" w:firstLineChars="200"/>
        <w:rPr>
          <w:rFonts w:ascii="仿宋" w:hAnsi="仿宋" w:eastAsia="仿宋" w:cs="Times New Roman"/>
          <w:sz w:val="28"/>
          <w:szCs w:val="28"/>
        </w:rPr>
      </w:pPr>
      <w:r>
        <w:rPr>
          <w:rFonts w:hint="eastAsia" w:ascii="仿宋" w:hAnsi="仿宋" w:eastAsia="仿宋" w:cs="仿宋"/>
          <w:sz w:val="28"/>
          <w:szCs w:val="28"/>
        </w:rPr>
        <w:t>通过促进“增量”和“提质”同步发展，龙岩市有色金属产业从矿山采选</w:t>
      </w:r>
      <w:r>
        <w:rPr>
          <w:rFonts w:ascii="仿宋" w:hAnsi="仿宋" w:eastAsia="仿宋" w:cs="仿宋"/>
          <w:sz w:val="28"/>
          <w:szCs w:val="28"/>
        </w:rPr>
        <w:t>-</w:t>
      </w:r>
      <w:r>
        <w:rPr>
          <w:rFonts w:hint="eastAsia" w:ascii="仿宋" w:hAnsi="仿宋" w:eastAsia="仿宋" w:cs="仿宋"/>
          <w:sz w:val="28"/>
          <w:szCs w:val="28"/>
        </w:rPr>
        <w:t>冶炼到深加工，并进一步延伸至终端应用，实现与当地的装备制造和新材料新能源等产业融合发展，产业链条不断丰富，产业结构得到优化，产业配套不断完善。主动融入智能电网、新能源汽车、电子信息产业、高端装备制造等国家战略新兴产业和“新基建”产业领域，成为全国知名的金铜材料、稀土材料和硬质合金材料等的供应基地。</w:t>
      </w:r>
    </w:p>
    <w:p>
      <w:pPr>
        <w:spacing w:line="540" w:lineRule="exact"/>
        <w:ind w:firstLine="31680" w:firstLineChars="200"/>
        <w:rPr>
          <w:rFonts w:ascii="仿宋" w:hAnsi="仿宋" w:eastAsia="仿宋" w:cs="Times New Roman"/>
          <w:sz w:val="28"/>
          <w:szCs w:val="28"/>
        </w:rPr>
      </w:pPr>
      <w:r>
        <w:rPr>
          <w:rFonts w:hint="eastAsia" w:ascii="仿宋" w:hAnsi="仿宋" w:eastAsia="仿宋" w:cs="仿宋"/>
          <w:sz w:val="28"/>
          <w:szCs w:val="28"/>
        </w:rPr>
        <w:t>发挥紫金矿业、长汀金龙稀土等龙头企业的带头引领作用，积极挖掘和培育中等规模项目和企业，形成百亿级、五十亿级、十亿元级等各个产业规模的企业梯队，激发市场活力。</w:t>
      </w:r>
    </w:p>
    <w:p>
      <w:pPr>
        <w:spacing w:line="540" w:lineRule="exact"/>
        <w:ind w:firstLine="31680" w:firstLineChars="200"/>
        <w:rPr>
          <w:rFonts w:ascii="仿宋" w:hAnsi="仿宋" w:eastAsia="仿宋" w:cs="Times New Roman"/>
          <w:sz w:val="28"/>
          <w:szCs w:val="28"/>
        </w:rPr>
      </w:pPr>
      <w:r>
        <w:rPr>
          <w:rFonts w:hint="eastAsia" w:ascii="仿宋" w:hAnsi="仿宋" w:eastAsia="仿宋" w:cs="仿宋"/>
          <w:sz w:val="28"/>
          <w:szCs w:val="28"/>
        </w:rPr>
        <w:t>通过创建有色金属新材料工程技术研究中心、专业技术培训学校和专家服务站等专业配套体系，提升龙岩市有色金属产业技术创新能力、人才培养能力和高端人才聚集能力，打造有色金属材料技术研发基地，提升科技创新能力；通过创建有色金属产品质量监督检验中心、物流仓储服务中心、供应链金融服务平台等配套服务体系，夯实产业发展基础，实现龙岩市有色金属产业的可持续发展。</w:t>
      </w:r>
    </w:p>
    <w:p>
      <w:pPr>
        <w:pStyle w:val="3"/>
        <w:rPr>
          <w:rFonts w:ascii="仿宋" w:hAnsi="仿宋" w:eastAsia="仿宋" w:cs="Times New Roman"/>
          <w:sz w:val="28"/>
          <w:szCs w:val="28"/>
        </w:rPr>
      </w:pPr>
      <w:bookmarkStart w:id="39" w:name="_Toc70684652"/>
      <w:r>
        <w:rPr>
          <w:rFonts w:hint="eastAsia" w:ascii="仿宋" w:hAnsi="仿宋" w:eastAsia="仿宋" w:cs="仿宋"/>
          <w:sz w:val="28"/>
          <w:szCs w:val="28"/>
        </w:rPr>
        <w:t>（三）空间布局</w:t>
      </w:r>
      <w:bookmarkEnd w:id="39"/>
    </w:p>
    <w:p>
      <w:pPr>
        <w:spacing w:line="560" w:lineRule="exact"/>
        <w:ind w:firstLine="31680" w:firstLineChars="196"/>
        <w:rPr>
          <w:rFonts w:ascii="仿宋" w:hAnsi="仿宋" w:eastAsia="仿宋" w:cs="Times New Roman"/>
          <w:sz w:val="28"/>
          <w:szCs w:val="28"/>
        </w:rPr>
      </w:pPr>
      <w:r>
        <w:rPr>
          <w:rFonts w:hint="eastAsia" w:ascii="仿宋" w:hAnsi="仿宋" w:eastAsia="仿宋" w:cs="仿宋"/>
          <w:sz w:val="28"/>
          <w:szCs w:val="28"/>
        </w:rPr>
        <w:t>除了矿山采选业以外，为便于产业互补、配套和管理，有色金属冶炼、加工制造以及下游延伸应用等产业以园区为主要发展依托。</w:t>
      </w:r>
    </w:p>
    <w:p>
      <w:pPr>
        <w:spacing w:line="540" w:lineRule="exact"/>
        <w:ind w:firstLine="31680" w:firstLineChars="200"/>
        <w:rPr>
          <w:rFonts w:ascii="仿宋" w:hAnsi="仿宋" w:eastAsia="仿宋" w:cs="Times New Roman"/>
          <w:sz w:val="28"/>
          <w:szCs w:val="28"/>
        </w:rPr>
      </w:pPr>
      <w:r>
        <w:rPr>
          <w:rFonts w:hint="eastAsia" w:ascii="仿宋" w:hAnsi="仿宋" w:eastAsia="仿宋" w:cs="仿宋"/>
          <w:b/>
          <w:bCs/>
          <w:sz w:val="28"/>
          <w:szCs w:val="28"/>
        </w:rPr>
        <w:t>金铜产业</w:t>
      </w:r>
      <w:r>
        <w:rPr>
          <w:rFonts w:hint="eastAsia" w:ascii="仿宋" w:hAnsi="仿宋" w:eastAsia="仿宋" w:cs="仿宋"/>
          <w:sz w:val="28"/>
          <w:szCs w:val="28"/>
        </w:rPr>
        <w:t>主要布局于上杭县，包括上杭工业园区、蛟洋工业区、上杭新材料科创谷和</w:t>
      </w:r>
      <w:r>
        <w:rPr>
          <w:rFonts w:hint="eastAsia" w:ascii="仿宋" w:hAnsi="仿宋" w:eastAsia="仿宋" w:cs="仿宋"/>
          <w:spacing w:val="-2"/>
          <w:sz w:val="28"/>
          <w:szCs w:val="28"/>
        </w:rPr>
        <w:t>上杭金铜新材料循环产业园</w:t>
      </w:r>
      <w:r>
        <w:rPr>
          <w:rFonts w:hint="eastAsia" w:ascii="仿宋" w:hAnsi="仿宋" w:eastAsia="仿宋" w:cs="仿宋"/>
          <w:sz w:val="28"/>
          <w:szCs w:val="28"/>
        </w:rPr>
        <w:t>，其中上杭县工业园区重点发展金铜精深加工、下游终端应用领域产品和金铜产业配套服务业；蛟洋工业区重点发展金铜冶炼业及其相关的循环经济产业，如副产品硫酸的产业链延伸、固体废物的综合利用，以及贵金属化工产品等；上杭新材料科创谷（白沙镇）重点发展高端铜基新材料和稀贵金属新材料；</w:t>
      </w:r>
      <w:r>
        <w:rPr>
          <w:rFonts w:hint="eastAsia" w:ascii="仿宋" w:hAnsi="仿宋" w:eastAsia="仿宋" w:cs="仿宋"/>
          <w:spacing w:val="-2"/>
          <w:sz w:val="28"/>
          <w:szCs w:val="28"/>
        </w:rPr>
        <w:t>上杭金铜新材料循环产业园重点发展金铜精深加工、高端五金及其表面处理等产品。</w:t>
      </w:r>
    </w:p>
    <w:p>
      <w:pPr>
        <w:spacing w:line="560" w:lineRule="exact"/>
        <w:ind w:firstLine="31680" w:firstLineChars="196"/>
        <w:rPr>
          <w:rFonts w:ascii="仿宋" w:hAnsi="仿宋" w:eastAsia="仿宋" w:cs="Times New Roman"/>
          <w:kern w:val="0"/>
          <w:sz w:val="28"/>
          <w:szCs w:val="28"/>
        </w:rPr>
      </w:pPr>
      <w:r>
        <w:rPr>
          <w:rFonts w:hint="eastAsia" w:ascii="仿宋" w:hAnsi="仿宋" w:eastAsia="仿宋" w:cs="仿宋"/>
          <w:b/>
          <w:bCs/>
          <w:kern w:val="0"/>
          <w:sz w:val="28"/>
          <w:szCs w:val="28"/>
        </w:rPr>
        <w:t>稀土产业</w:t>
      </w:r>
      <w:r>
        <w:rPr>
          <w:rFonts w:hint="eastAsia" w:ascii="仿宋" w:hAnsi="仿宋" w:eastAsia="仿宋" w:cs="仿宋"/>
          <w:kern w:val="0"/>
          <w:sz w:val="28"/>
          <w:szCs w:val="28"/>
        </w:rPr>
        <w:t>主要布局长汀县的福建（龙岩）稀土工业园区，按照资源深加工和上下游紧密融合的要求，充分发挥龙头企业的带动作用，将稀土产业及其产业链延伸作为战略性新兴产业来培育。依托龙岩市自身和全球稀土矿产资源运营的优势，从初加工到深加工，从战略新材料到器件生产，在稀土产业园区内逐步打造并完善六大稀土产业链，形成龙岩市稀土工业特色。</w:t>
      </w:r>
    </w:p>
    <w:p>
      <w:pPr>
        <w:spacing w:line="560" w:lineRule="exact"/>
        <w:ind w:firstLine="31680" w:firstLineChars="196"/>
        <w:rPr>
          <w:rFonts w:ascii="仿宋" w:hAnsi="仿宋" w:eastAsia="仿宋" w:cs="Times New Roman"/>
          <w:kern w:val="0"/>
          <w:sz w:val="28"/>
          <w:szCs w:val="28"/>
        </w:rPr>
      </w:pPr>
      <w:r>
        <w:rPr>
          <w:rFonts w:hint="eastAsia" w:ascii="仿宋" w:hAnsi="仿宋" w:eastAsia="仿宋" w:cs="仿宋"/>
          <w:b/>
          <w:bCs/>
          <w:kern w:val="0"/>
          <w:sz w:val="28"/>
          <w:szCs w:val="28"/>
        </w:rPr>
        <w:t>钨产业</w:t>
      </w:r>
      <w:r>
        <w:rPr>
          <w:rFonts w:hint="eastAsia" w:ascii="仿宋" w:hAnsi="仿宋" w:eastAsia="仿宋" w:cs="仿宋"/>
          <w:kern w:val="0"/>
          <w:sz w:val="28"/>
          <w:szCs w:val="28"/>
        </w:rPr>
        <w:t>主要布局新罗区和连城县工业园，重点发展硬质合金等钨深加工产业。</w:t>
      </w:r>
    </w:p>
    <w:p>
      <w:pPr>
        <w:pStyle w:val="2"/>
        <w:spacing w:before="120" w:after="120" w:line="240" w:lineRule="auto"/>
        <w:rPr>
          <w:rFonts w:ascii="黑体" w:hAnsi="黑体" w:eastAsia="黑体" w:cs="Times New Roman"/>
          <w:b w:val="0"/>
          <w:bCs w:val="0"/>
          <w:sz w:val="28"/>
          <w:szCs w:val="28"/>
        </w:rPr>
      </w:pPr>
      <w:bookmarkStart w:id="40" w:name="_Toc70684653"/>
      <w:r>
        <w:rPr>
          <w:rFonts w:hint="eastAsia" w:ascii="黑体" w:hAnsi="黑体" w:eastAsia="黑体" w:cs="黑体"/>
          <w:b w:val="0"/>
          <w:bCs w:val="0"/>
          <w:sz w:val="28"/>
          <w:szCs w:val="28"/>
        </w:rPr>
        <w:t>五、龙岩市“十四五”有色产业发展重点</w:t>
      </w:r>
      <w:bookmarkEnd w:id="40"/>
    </w:p>
    <w:p>
      <w:pPr>
        <w:pStyle w:val="3"/>
        <w:rPr>
          <w:rFonts w:ascii="仿宋" w:hAnsi="仿宋" w:eastAsia="仿宋" w:cs="Times New Roman"/>
          <w:sz w:val="28"/>
          <w:szCs w:val="28"/>
        </w:rPr>
      </w:pPr>
      <w:bookmarkStart w:id="41" w:name="_Toc70684654"/>
      <w:r>
        <w:rPr>
          <w:rFonts w:hint="eastAsia" w:ascii="仿宋" w:hAnsi="仿宋" w:eastAsia="仿宋" w:cs="仿宋"/>
          <w:sz w:val="28"/>
          <w:szCs w:val="28"/>
        </w:rPr>
        <w:t>（一）铜产业发展重点与建设项目</w:t>
      </w:r>
      <w:bookmarkEnd w:id="41"/>
    </w:p>
    <w:p>
      <w:pPr>
        <w:pStyle w:val="4"/>
        <w:spacing w:before="240" w:after="120" w:line="415" w:lineRule="auto"/>
        <w:rPr>
          <w:rFonts w:ascii="仿宋" w:hAnsi="仿宋" w:eastAsia="仿宋" w:cs="Times New Roman"/>
          <w:sz w:val="28"/>
          <w:szCs w:val="28"/>
        </w:rPr>
      </w:pPr>
      <w:bookmarkStart w:id="42" w:name="_Toc70684655"/>
      <w:r>
        <w:rPr>
          <w:rFonts w:ascii="仿宋" w:hAnsi="仿宋" w:eastAsia="仿宋" w:cs="仿宋"/>
          <w:sz w:val="28"/>
          <w:szCs w:val="28"/>
        </w:rPr>
        <w:t>1.</w:t>
      </w:r>
      <w:r>
        <w:rPr>
          <w:rFonts w:hint="eastAsia" w:ascii="仿宋" w:hAnsi="仿宋" w:eastAsia="仿宋" w:cs="仿宋"/>
          <w:sz w:val="28"/>
          <w:szCs w:val="28"/>
        </w:rPr>
        <w:t>加快产业结构调整和优化升级</w:t>
      </w:r>
      <w:bookmarkEnd w:id="42"/>
    </w:p>
    <w:p>
      <w:pPr>
        <w:spacing w:line="560" w:lineRule="exact"/>
        <w:ind w:firstLine="31680" w:firstLineChars="196"/>
        <w:rPr>
          <w:rFonts w:ascii="仿宋" w:hAnsi="仿宋" w:eastAsia="仿宋" w:cs="Times New Roman"/>
          <w:kern w:val="0"/>
          <w:sz w:val="28"/>
          <w:szCs w:val="28"/>
        </w:rPr>
      </w:pPr>
      <w:r>
        <w:rPr>
          <w:rFonts w:hint="eastAsia" w:ascii="仿宋" w:hAnsi="仿宋" w:eastAsia="仿宋" w:cs="仿宋"/>
          <w:kern w:val="0"/>
          <w:sz w:val="28"/>
          <w:szCs w:val="28"/>
        </w:rPr>
        <w:t>龙岩市的铜产业以上杭县为主要发展基地。在十三五期间，依托紫金矿业集团的铜矿山和铜冶炼项目，上杭县已经初步构建了输配电（铜杆铜线、电线电缆、变压器）、电子通信（铜板带、电解铜箔、连接线、微波通讯线缆）、家电卫浴（铜管、铜棒、卫浴龙头）、交通运输（铜板带、电解铜箔、汽车线束）等</w:t>
      </w:r>
      <w:r>
        <w:rPr>
          <w:rFonts w:ascii="仿宋" w:hAnsi="仿宋" w:eastAsia="仿宋" w:cs="仿宋"/>
          <w:kern w:val="0"/>
          <w:sz w:val="28"/>
          <w:szCs w:val="28"/>
        </w:rPr>
        <w:t>4</w:t>
      </w:r>
      <w:r>
        <w:rPr>
          <w:rFonts w:hint="eastAsia" w:ascii="仿宋" w:hAnsi="仿宋" w:eastAsia="仿宋" w:cs="仿宋"/>
          <w:kern w:val="0"/>
          <w:sz w:val="28"/>
          <w:szCs w:val="28"/>
        </w:rPr>
        <w:t>条铜产业链，并已经成为龙岩市有色金属产业的重要支撑。为了加速龙岩市铜产业的发展规模和效益提升，龙岩市要以国家产业政策为导向，以市场需求为发展方向，主动对铜产业链的产品结构和相关产业进行升级和调整，与国家经济建设需求同步发展。</w:t>
      </w:r>
    </w:p>
    <w:p>
      <w:pPr>
        <w:spacing w:line="560" w:lineRule="exact"/>
        <w:ind w:firstLine="31680" w:firstLineChars="196"/>
        <w:rPr>
          <w:rFonts w:ascii="仿宋" w:hAnsi="仿宋" w:eastAsia="仿宋" w:cs="Times New Roman"/>
          <w:kern w:val="0"/>
          <w:sz w:val="28"/>
          <w:szCs w:val="28"/>
        </w:rPr>
      </w:pPr>
      <w:r>
        <w:rPr>
          <w:rFonts w:hint="eastAsia" w:ascii="仿宋" w:hAnsi="仿宋" w:eastAsia="仿宋" w:cs="仿宋"/>
          <w:kern w:val="0"/>
          <w:sz w:val="28"/>
          <w:szCs w:val="28"/>
        </w:rPr>
        <w:t>十四五期间，龙岩市铜产业发展的方向和路径是：在继续稳步扩大现有传统铜产业领域产品的基础上，围绕战略新兴产业和</w:t>
      </w:r>
      <w:r>
        <w:rPr>
          <w:rFonts w:ascii="仿宋" w:hAnsi="仿宋" w:eastAsia="仿宋" w:cs="仿宋"/>
          <w:kern w:val="0"/>
          <w:sz w:val="28"/>
          <w:szCs w:val="28"/>
        </w:rPr>
        <w:t>5G</w:t>
      </w:r>
      <w:r>
        <w:rPr>
          <w:rFonts w:hint="eastAsia" w:ascii="仿宋" w:hAnsi="仿宋" w:eastAsia="仿宋" w:cs="仿宋"/>
          <w:kern w:val="0"/>
          <w:sz w:val="28"/>
          <w:szCs w:val="28"/>
        </w:rPr>
        <w:t>基建、特高压、城际高速铁路和城市轨道交通、新能源汽车充电桩、大数据中心、人工智能、工业互联网等“新基建”，以满足相关领域铜加工材料需求为导向，升级现有相关铜产业链条和优化产业结构，包括构建：以特高压电力为应用领域的输变电产业链；以</w:t>
      </w:r>
      <w:r>
        <w:rPr>
          <w:rFonts w:ascii="仿宋" w:hAnsi="仿宋" w:eastAsia="仿宋" w:cs="仿宋"/>
          <w:kern w:val="0"/>
          <w:sz w:val="28"/>
          <w:szCs w:val="28"/>
        </w:rPr>
        <w:t>5G</w:t>
      </w:r>
      <w:r>
        <w:rPr>
          <w:rFonts w:hint="eastAsia" w:ascii="仿宋" w:hAnsi="仿宋" w:eastAsia="仿宋" w:cs="仿宋"/>
          <w:kern w:val="0"/>
          <w:sz w:val="28"/>
          <w:szCs w:val="28"/>
        </w:rPr>
        <w:t>通信为应用领域的电子通信产业链；以城际高速铁路、城际轨道交通及新能源汽车及充电桩为应用领域的新能源智能交通产业链等三大“新基建”配套铜产业链。</w:t>
      </w:r>
    </w:p>
    <w:p>
      <w:pPr>
        <w:spacing w:line="560" w:lineRule="exact"/>
        <w:ind w:firstLine="31680" w:firstLineChars="196"/>
        <w:rPr>
          <w:rFonts w:ascii="仿宋" w:hAnsi="仿宋" w:eastAsia="仿宋" w:cs="Times New Roman"/>
          <w:kern w:val="0"/>
          <w:sz w:val="28"/>
          <w:szCs w:val="28"/>
        </w:rPr>
      </w:pPr>
      <w:r>
        <w:rPr>
          <w:rFonts w:hint="eastAsia" w:ascii="仿宋" w:hAnsi="仿宋" w:eastAsia="仿宋" w:cs="仿宋"/>
          <w:kern w:val="0"/>
          <w:sz w:val="28"/>
          <w:szCs w:val="28"/>
        </w:rPr>
        <w:t>同时，不断完善产业配套，探索建立铜产业仓储物流体系，为铜产业链的上下游企业提供包含仓储、物流、融资、风险管理、包购包销、委托加工、信息咨询、数字化改造为一体的产业链智慧升级服务，促进铜产业的进一步发展。</w:t>
      </w:r>
    </w:p>
    <w:p>
      <w:pPr>
        <w:jc w:val="center"/>
        <w:rPr>
          <w:rFonts w:cs="Times New Roman"/>
          <w:b/>
          <w:bCs/>
        </w:rPr>
      </w:pPr>
      <w:r>
        <w:rPr>
          <w:rStyle w:val="16"/>
          <w:rFonts w:hint="eastAsia" w:ascii="黑体" w:hAnsi="黑体" w:eastAsia="黑体" w:cs="黑体"/>
          <w:b w:val="0"/>
          <w:bCs w:val="0"/>
        </w:rPr>
        <w:t>表</w:t>
      </w:r>
      <w:r>
        <w:rPr>
          <w:rStyle w:val="16"/>
          <w:rFonts w:ascii="黑体" w:hAnsi="黑体" w:eastAsia="黑体" w:cs="黑体"/>
          <w:b w:val="0"/>
          <w:bCs w:val="0"/>
        </w:rPr>
        <w:t>5-1  2020-2025</w:t>
      </w:r>
      <w:r>
        <w:rPr>
          <w:rStyle w:val="16"/>
          <w:rFonts w:hint="eastAsia" w:ascii="黑体" w:hAnsi="黑体" w:eastAsia="黑体" w:cs="黑体"/>
          <w:b w:val="0"/>
          <w:bCs w:val="0"/>
        </w:rPr>
        <w:t>年新基建投资规模测算</w:t>
      </w:r>
    </w:p>
    <w:p>
      <w:pPr>
        <w:spacing w:line="360" w:lineRule="auto"/>
        <w:rPr>
          <w:rFonts w:cs="Times New Roman"/>
        </w:rPr>
      </w:pPr>
      <w:r>
        <w:rPr>
          <w:rFonts w:ascii="Calibri" w:hAnsi="Calibri" w:eastAsia="宋体" w:cs="Calibri"/>
          <w:kern w:val="2"/>
          <w:sz w:val="21"/>
          <w:szCs w:val="21"/>
          <w:lang w:val="en-US" w:eastAsia="zh-CN" w:bidi="ar-SA"/>
        </w:rPr>
        <w:pict>
          <v:shape id="图片 2" o:spid="_x0000_s1027" type="#_x0000_t75" style="position:absolute;left:0;margin-left:9.45pt;margin-top:0.8pt;height:166.75pt;width:434.5pt;rotation:0f;z-index:251658240;" o:ole="f" fillcolor="#FFFFFF" filled="f" o:preferrelative="t" stroked="f" coordorigin="0,0" coordsize="21600,21600">
            <v:fill on="f" color2="#FFFFFF" focus="0%"/>
            <v:imagedata gain="65536f" blacklevel="0f" gamma="0" o:title="" r:id="rId7"/>
            <o:lock v:ext="edit" position="f" selection="f" grouping="f" rotation="f" cropping="f" text="f" aspectratio="t"/>
          </v:shape>
        </w:pict>
      </w:r>
    </w:p>
    <w:p>
      <w:pPr>
        <w:spacing w:line="360" w:lineRule="auto"/>
        <w:ind w:firstLine="560"/>
        <w:rPr>
          <w:rFonts w:cs="Times New Roman"/>
        </w:rPr>
      </w:pPr>
    </w:p>
    <w:p>
      <w:pPr>
        <w:spacing w:line="360" w:lineRule="auto"/>
        <w:ind w:firstLine="560"/>
        <w:rPr>
          <w:rFonts w:cs="Times New Roman"/>
        </w:rPr>
      </w:pPr>
    </w:p>
    <w:p>
      <w:pPr>
        <w:spacing w:line="360" w:lineRule="auto"/>
        <w:ind w:firstLine="560"/>
        <w:rPr>
          <w:rFonts w:cs="Times New Roman"/>
        </w:rPr>
      </w:pPr>
    </w:p>
    <w:p>
      <w:pPr>
        <w:spacing w:line="360" w:lineRule="auto"/>
        <w:ind w:firstLine="560"/>
        <w:rPr>
          <w:rFonts w:cs="Times New Roman"/>
        </w:rPr>
      </w:pPr>
    </w:p>
    <w:p>
      <w:pPr>
        <w:spacing w:line="360" w:lineRule="auto"/>
        <w:ind w:firstLine="560"/>
        <w:rPr>
          <w:rFonts w:cs="Times New Roman"/>
        </w:rPr>
      </w:pPr>
    </w:p>
    <w:p>
      <w:pPr>
        <w:ind w:firstLine="31680" w:firstLineChars="300"/>
        <w:rPr>
          <w:rFonts w:cs="Times New Roman"/>
        </w:rPr>
      </w:pPr>
      <w:r>
        <w:rPr>
          <w:rFonts w:hint="eastAsia" w:ascii="华文楷体" w:hAnsi="华文楷体" w:eastAsia="华文楷体" w:cs="华文楷体"/>
          <w:sz w:val="18"/>
          <w:szCs w:val="18"/>
        </w:rPr>
        <w:t>数据来源：</w:t>
      </w:r>
      <w:r>
        <w:rPr>
          <w:rFonts w:ascii="华文楷体" w:hAnsi="华文楷体" w:eastAsia="华文楷体" w:cs="华文楷体"/>
          <w:sz w:val="18"/>
          <w:szCs w:val="18"/>
        </w:rPr>
        <w:t>Wind</w:t>
      </w:r>
      <w:r>
        <w:rPr>
          <w:rFonts w:hint="eastAsia" w:ascii="华文楷体" w:hAnsi="华文楷体" w:eastAsia="华文楷体" w:cs="华文楷体"/>
          <w:sz w:val="18"/>
          <w:szCs w:val="18"/>
        </w:rPr>
        <w:t>，安泰科</w:t>
      </w:r>
    </w:p>
    <w:p>
      <w:pPr>
        <w:pStyle w:val="4"/>
        <w:spacing w:before="240" w:after="120" w:line="415" w:lineRule="auto"/>
        <w:rPr>
          <w:rFonts w:ascii="仿宋" w:hAnsi="仿宋" w:eastAsia="仿宋" w:cs="Times New Roman"/>
          <w:sz w:val="28"/>
          <w:szCs w:val="28"/>
        </w:rPr>
      </w:pPr>
      <w:bookmarkStart w:id="43" w:name="_Toc70684656"/>
      <w:r>
        <w:rPr>
          <w:rFonts w:ascii="仿宋" w:hAnsi="仿宋" w:eastAsia="仿宋" w:cs="仿宋"/>
          <w:sz w:val="28"/>
          <w:szCs w:val="28"/>
        </w:rPr>
        <w:t>2.</w:t>
      </w:r>
      <w:r>
        <w:rPr>
          <w:rFonts w:hint="eastAsia" w:ascii="仿宋" w:hAnsi="仿宋" w:eastAsia="仿宋" w:cs="仿宋"/>
          <w:sz w:val="28"/>
          <w:szCs w:val="28"/>
        </w:rPr>
        <w:t>重点发展的产业领域和产品种类</w:t>
      </w:r>
      <w:bookmarkEnd w:id="43"/>
    </w:p>
    <w:p>
      <w:pPr>
        <w:spacing w:line="520" w:lineRule="exact"/>
        <w:ind w:firstLine="560"/>
        <w:rPr>
          <w:rFonts w:ascii="仿宋" w:hAnsi="仿宋" w:eastAsia="仿宋" w:cs="Times New Roman"/>
          <w:b/>
          <w:bCs/>
          <w:sz w:val="28"/>
          <w:szCs w:val="28"/>
        </w:rPr>
      </w:pPr>
      <w:r>
        <w:rPr>
          <w:rFonts w:hint="eastAsia" w:ascii="仿宋" w:hAnsi="仿宋" w:eastAsia="仿宋" w:cs="仿宋"/>
          <w:sz w:val="28"/>
          <w:szCs w:val="28"/>
        </w:rPr>
        <w:t>龙岩市铜产业在“十四五”发展期间，在继续扩大和发展现有的</w:t>
      </w:r>
      <w:r>
        <w:rPr>
          <w:rFonts w:hint="eastAsia" w:ascii="仿宋" w:hAnsi="仿宋" w:eastAsia="仿宋" w:cs="仿宋"/>
          <w:b/>
          <w:bCs/>
          <w:sz w:val="28"/>
          <w:szCs w:val="28"/>
        </w:rPr>
        <w:t>输配电产业链、电子信息产业链、家电卫浴产业链和交通运输产业链</w:t>
      </w:r>
      <w:r>
        <w:rPr>
          <w:rFonts w:hint="eastAsia" w:ascii="仿宋" w:hAnsi="仿宋" w:eastAsia="仿宋" w:cs="仿宋"/>
          <w:sz w:val="28"/>
          <w:szCs w:val="28"/>
        </w:rPr>
        <w:t>的基础上，发展重心应以国家发布的“新基建”等相关建设领域中与铜基材料应用相关的项目上来。升级强化输配电、电子信息和交通运输产业链，形成直接与“新基建”对接的</w:t>
      </w:r>
      <w:r>
        <w:rPr>
          <w:rFonts w:hint="eastAsia" w:ascii="仿宋" w:hAnsi="仿宋" w:eastAsia="仿宋" w:cs="仿宋"/>
          <w:b/>
          <w:bCs/>
          <w:sz w:val="28"/>
          <w:szCs w:val="28"/>
        </w:rPr>
        <w:t>特高压输变电产业链、电子通信产业链和新能源智能交通</w:t>
      </w:r>
      <w:r>
        <w:rPr>
          <w:rFonts w:hint="eastAsia" w:ascii="仿宋" w:hAnsi="仿宋" w:eastAsia="仿宋" w:cs="仿宋"/>
          <w:spacing w:val="8"/>
          <w:sz w:val="28"/>
          <w:szCs w:val="28"/>
          <w:shd w:val="clear" w:color="auto" w:fill="FFFFFF"/>
        </w:rPr>
        <w:t>等三大</w:t>
      </w:r>
      <w:r>
        <w:rPr>
          <w:rFonts w:hint="eastAsia" w:ascii="仿宋" w:hAnsi="仿宋" w:eastAsia="仿宋" w:cs="仿宋"/>
          <w:sz w:val="28"/>
          <w:szCs w:val="28"/>
        </w:rPr>
        <w:t>升级版铜产业链</w:t>
      </w:r>
      <w:r>
        <w:rPr>
          <w:rFonts w:hint="eastAsia" w:ascii="仿宋" w:hAnsi="仿宋" w:eastAsia="仿宋" w:cs="仿宋"/>
          <w:b/>
          <w:bCs/>
          <w:sz w:val="28"/>
          <w:szCs w:val="28"/>
        </w:rPr>
        <w:t>。</w:t>
      </w:r>
    </w:p>
    <w:p>
      <w:pPr>
        <w:pStyle w:val="5"/>
        <w:spacing w:before="240" w:after="120" w:line="377" w:lineRule="auto"/>
        <w:rPr>
          <w:rFonts w:ascii="仿宋" w:hAnsi="仿宋" w:eastAsia="仿宋" w:cs="Times New Roman"/>
        </w:rPr>
      </w:pPr>
      <w:r>
        <w:rPr>
          <w:rFonts w:hint="eastAsia" w:ascii="仿宋" w:hAnsi="仿宋" w:eastAsia="仿宋" w:cs="仿宋"/>
        </w:rPr>
        <w:t>（</w:t>
      </w:r>
      <w:r>
        <w:rPr>
          <w:rFonts w:ascii="仿宋" w:hAnsi="仿宋" w:eastAsia="仿宋" w:cs="仿宋"/>
        </w:rPr>
        <w:t>1</w:t>
      </w:r>
      <w:r>
        <w:rPr>
          <w:rFonts w:hint="eastAsia" w:ascii="仿宋" w:hAnsi="仿宋" w:eastAsia="仿宋" w:cs="仿宋"/>
        </w:rPr>
        <w:t>）特高压输变电产业链</w:t>
      </w:r>
    </w:p>
    <w:p>
      <w:pPr>
        <w:ind w:firstLine="560"/>
        <w:rPr>
          <w:rFonts w:ascii="仿宋" w:hAnsi="仿宋" w:eastAsia="仿宋" w:cs="Times New Roman"/>
          <w:sz w:val="28"/>
          <w:szCs w:val="28"/>
        </w:rPr>
      </w:pPr>
      <w:r>
        <w:rPr>
          <w:rFonts w:hint="eastAsia" w:ascii="仿宋" w:hAnsi="仿宋" w:eastAsia="仿宋" w:cs="仿宋"/>
          <w:sz w:val="28"/>
          <w:szCs w:val="28"/>
        </w:rPr>
        <w:t>电力行业是我国铜消费的主要行业，铜消费主要应用在电线电缆、电气装备用电线电缆、通信及电子用线缆、各类电气绕组线、裸铜线及电力变压器等相关电力产品上。根据安泰科的研究，</w:t>
      </w:r>
      <w:r>
        <w:rPr>
          <w:rFonts w:ascii="仿宋" w:hAnsi="仿宋" w:eastAsia="仿宋" w:cs="仿宋"/>
          <w:sz w:val="28"/>
          <w:szCs w:val="28"/>
        </w:rPr>
        <w:t>2020</w:t>
      </w:r>
      <w:r>
        <w:rPr>
          <w:rFonts w:hint="eastAsia" w:ascii="仿宋" w:hAnsi="仿宋" w:eastAsia="仿宋" w:cs="仿宋"/>
          <w:sz w:val="28"/>
          <w:szCs w:val="28"/>
        </w:rPr>
        <w:t>年我国电力行业铜材消费量占我国全部铜材产量的</w:t>
      </w:r>
      <w:r>
        <w:rPr>
          <w:rFonts w:ascii="仿宋" w:hAnsi="仿宋" w:eastAsia="仿宋" w:cs="仿宋"/>
          <w:sz w:val="28"/>
          <w:szCs w:val="28"/>
        </w:rPr>
        <w:t>52%</w:t>
      </w:r>
      <w:r>
        <w:rPr>
          <w:rFonts w:hint="eastAsia" w:ascii="仿宋" w:hAnsi="仿宋" w:eastAsia="仿宋" w:cs="仿宋"/>
          <w:sz w:val="28"/>
          <w:szCs w:val="28"/>
        </w:rPr>
        <w:t>左右，约为</w:t>
      </w:r>
      <w:r>
        <w:rPr>
          <w:rFonts w:ascii="仿宋" w:hAnsi="仿宋" w:eastAsia="仿宋" w:cs="仿宋"/>
          <w:sz w:val="28"/>
          <w:szCs w:val="28"/>
        </w:rPr>
        <w:t>839.7</w:t>
      </w:r>
      <w:r>
        <w:rPr>
          <w:rFonts w:hint="eastAsia" w:ascii="仿宋" w:hAnsi="仿宋" w:eastAsia="仿宋" w:cs="仿宋"/>
          <w:sz w:val="28"/>
          <w:szCs w:val="28"/>
        </w:rPr>
        <w:t>吨。其中，电力电缆消费量约为</w:t>
      </w:r>
      <w:r>
        <w:rPr>
          <w:rFonts w:ascii="仿宋" w:hAnsi="仿宋" w:eastAsia="仿宋" w:cs="仿宋"/>
          <w:sz w:val="28"/>
          <w:szCs w:val="28"/>
        </w:rPr>
        <w:t>287.2</w:t>
      </w:r>
      <w:r>
        <w:rPr>
          <w:rFonts w:hint="eastAsia" w:ascii="仿宋" w:hAnsi="仿宋" w:eastAsia="仿宋" w:cs="仿宋"/>
          <w:sz w:val="28"/>
          <w:szCs w:val="28"/>
        </w:rPr>
        <w:t>万吨，占总量的</w:t>
      </w:r>
      <w:r>
        <w:rPr>
          <w:rFonts w:ascii="仿宋" w:hAnsi="仿宋" w:eastAsia="仿宋" w:cs="仿宋"/>
          <w:sz w:val="28"/>
          <w:szCs w:val="28"/>
        </w:rPr>
        <w:t>34.2%</w:t>
      </w:r>
      <w:r>
        <w:rPr>
          <w:rFonts w:hint="eastAsia" w:ascii="仿宋" w:hAnsi="仿宋" w:eastAsia="仿宋" w:cs="仿宋"/>
          <w:sz w:val="28"/>
          <w:szCs w:val="28"/>
        </w:rPr>
        <w:t>，绕组线消费量约为</w:t>
      </w:r>
      <w:r>
        <w:rPr>
          <w:rFonts w:ascii="仿宋" w:hAnsi="仿宋" w:eastAsia="仿宋" w:cs="仿宋"/>
          <w:sz w:val="28"/>
          <w:szCs w:val="28"/>
        </w:rPr>
        <w:t>256.1</w:t>
      </w:r>
      <w:r>
        <w:rPr>
          <w:rFonts w:hint="eastAsia" w:ascii="仿宋" w:hAnsi="仿宋" w:eastAsia="仿宋" w:cs="仿宋"/>
          <w:sz w:val="28"/>
          <w:szCs w:val="28"/>
        </w:rPr>
        <w:t>万吨，占总量的</w:t>
      </w:r>
      <w:r>
        <w:rPr>
          <w:rFonts w:ascii="仿宋" w:hAnsi="仿宋" w:eastAsia="仿宋" w:cs="仿宋"/>
          <w:sz w:val="28"/>
          <w:szCs w:val="28"/>
        </w:rPr>
        <w:t>30.5%</w:t>
      </w:r>
      <w:r>
        <w:rPr>
          <w:rFonts w:hint="eastAsia" w:ascii="仿宋" w:hAnsi="仿宋" w:eastAsia="仿宋" w:cs="仿宋"/>
          <w:sz w:val="28"/>
          <w:szCs w:val="28"/>
        </w:rPr>
        <w:t>，电气装备消费量约为</w:t>
      </w:r>
      <w:r>
        <w:rPr>
          <w:rFonts w:ascii="仿宋" w:hAnsi="仿宋" w:eastAsia="仿宋" w:cs="仿宋"/>
          <w:sz w:val="28"/>
          <w:szCs w:val="28"/>
        </w:rPr>
        <w:t>209.9</w:t>
      </w:r>
      <w:r>
        <w:rPr>
          <w:rFonts w:hint="eastAsia" w:ascii="仿宋" w:hAnsi="仿宋" w:eastAsia="仿宋" w:cs="仿宋"/>
          <w:sz w:val="28"/>
          <w:szCs w:val="28"/>
        </w:rPr>
        <w:t>万吨，占总量的</w:t>
      </w:r>
      <w:r>
        <w:rPr>
          <w:rFonts w:ascii="仿宋" w:hAnsi="仿宋" w:eastAsia="仿宋" w:cs="仿宋"/>
          <w:sz w:val="28"/>
          <w:szCs w:val="28"/>
        </w:rPr>
        <w:t>25%</w:t>
      </w:r>
      <w:r>
        <w:rPr>
          <w:rFonts w:hint="eastAsia" w:ascii="仿宋" w:hAnsi="仿宋" w:eastAsia="仿宋" w:cs="仿宋"/>
          <w:sz w:val="28"/>
          <w:szCs w:val="28"/>
        </w:rPr>
        <w:t>，通信线缆消费量约为</w:t>
      </w:r>
      <w:r>
        <w:rPr>
          <w:rFonts w:ascii="仿宋" w:hAnsi="仿宋" w:eastAsia="仿宋" w:cs="仿宋"/>
          <w:sz w:val="28"/>
          <w:szCs w:val="28"/>
        </w:rPr>
        <w:t>67.2</w:t>
      </w:r>
      <w:r>
        <w:rPr>
          <w:rFonts w:hint="eastAsia" w:ascii="仿宋" w:hAnsi="仿宋" w:eastAsia="仿宋" w:cs="仿宋"/>
          <w:sz w:val="28"/>
          <w:szCs w:val="28"/>
        </w:rPr>
        <w:t>万吨，占总量的</w:t>
      </w:r>
      <w:r>
        <w:rPr>
          <w:rFonts w:ascii="仿宋" w:hAnsi="仿宋" w:eastAsia="仿宋" w:cs="仿宋"/>
          <w:sz w:val="28"/>
          <w:szCs w:val="28"/>
        </w:rPr>
        <w:t>8%</w:t>
      </w:r>
      <w:r>
        <w:rPr>
          <w:rFonts w:hint="eastAsia" w:ascii="仿宋" w:hAnsi="仿宋" w:eastAsia="仿宋" w:cs="仿宋"/>
          <w:sz w:val="28"/>
          <w:szCs w:val="28"/>
        </w:rPr>
        <w:t>，其他类消费量约为</w:t>
      </w:r>
      <w:r>
        <w:rPr>
          <w:rFonts w:ascii="仿宋" w:hAnsi="仿宋" w:eastAsia="仿宋" w:cs="仿宋"/>
          <w:sz w:val="28"/>
          <w:szCs w:val="28"/>
        </w:rPr>
        <w:t>19.3</w:t>
      </w:r>
      <w:r>
        <w:rPr>
          <w:rFonts w:hint="eastAsia" w:ascii="仿宋" w:hAnsi="仿宋" w:eastAsia="仿宋" w:cs="仿宋"/>
          <w:sz w:val="28"/>
          <w:szCs w:val="28"/>
        </w:rPr>
        <w:t>万吨，占总量的</w:t>
      </w:r>
      <w:r>
        <w:rPr>
          <w:rFonts w:ascii="仿宋" w:hAnsi="仿宋" w:eastAsia="仿宋" w:cs="仿宋"/>
          <w:sz w:val="28"/>
          <w:szCs w:val="28"/>
        </w:rPr>
        <w:t>2.3%</w:t>
      </w:r>
      <w:r>
        <w:rPr>
          <w:rFonts w:hint="eastAsia" w:ascii="仿宋" w:hAnsi="仿宋" w:eastAsia="仿宋" w:cs="仿宋"/>
          <w:sz w:val="28"/>
          <w:szCs w:val="28"/>
        </w:rPr>
        <w:t>。</w:t>
      </w:r>
    </w:p>
    <w:p>
      <w:pPr>
        <w:ind w:firstLine="560"/>
        <w:rPr>
          <w:rFonts w:ascii="仿宋" w:hAnsi="仿宋" w:eastAsia="仿宋" w:cs="Times New Roman"/>
          <w:sz w:val="28"/>
          <w:szCs w:val="28"/>
        </w:rPr>
      </w:pPr>
      <w:r>
        <w:rPr>
          <w:rFonts w:ascii="Calibri" w:hAnsi="Calibri" w:eastAsia="宋体" w:cs="Calibri"/>
          <w:kern w:val="2"/>
          <w:sz w:val="21"/>
          <w:szCs w:val="21"/>
          <w:lang w:val="en-US" w:eastAsia="zh-CN" w:bidi="ar-SA"/>
        </w:rPr>
        <w:pict>
          <v:shape id="_x0000_s1027" o:spid="_x0000_s1028" type="#_x0000_t75" style="position:absolute;left:0;margin-left:22.35pt;margin-top:415.05pt;height:236pt;width:415.25pt;mso-position-horizontal-relative:margin;mso-wrap-distance-bottom:0pt;mso-wrap-distance-left:9pt;mso-wrap-distance-right:9pt;mso-wrap-distance-top:0pt;rotation:0f;z-index:251661312;" o:ole="f" fillcolor="#FFFFFF" filled="f" o:preferrelative="t" stroked="f" coordorigin="0,0" coordsize="21600,21600">
            <v:fill on="f" color2="#FFFFFF" focus="0%"/>
            <v:imagedata gain="65536f" blacklevel="0f" gamma="0" o:title="" r:id="rId8"/>
            <o:lock v:ext="edit" position="f" selection="f" grouping="f" rotation="f" cropping="f" text="f" aspectratio="t"/>
            <w10:wrap type="square"/>
          </v:shape>
        </w:pict>
      </w:r>
      <w:r>
        <w:rPr>
          <w:rFonts w:hint="eastAsia" w:ascii="仿宋" w:hAnsi="仿宋" w:eastAsia="仿宋" w:cs="仿宋"/>
          <w:sz w:val="28"/>
          <w:szCs w:val="28"/>
        </w:rPr>
        <w:t>为了进一步促进我国电力发展，国家电网在十四五期间将继续加大对全国电网工程改造和建设，包括水电、风电和核电等新能源电力工程及城乡电网互连互通及升级扩容等基础建设项目，特别是在</w:t>
      </w:r>
      <w:r>
        <w:rPr>
          <w:rFonts w:ascii="仿宋" w:hAnsi="仿宋" w:eastAsia="仿宋" w:cs="仿宋"/>
          <w:sz w:val="28"/>
          <w:szCs w:val="28"/>
        </w:rPr>
        <w:t>2020</w:t>
      </w:r>
      <w:r>
        <w:rPr>
          <w:rFonts w:hint="eastAsia" w:ascii="仿宋" w:hAnsi="仿宋" w:eastAsia="仿宋" w:cs="仿宋"/>
          <w:sz w:val="28"/>
          <w:szCs w:val="28"/>
        </w:rPr>
        <w:t>年初在全球发生“疫情”的形势下，为扩大提振经济，国家提出“新基建”的概念来扩大内需，其中包含重点建设特高压电力项目。特高压电力系统包含交直流两种长距输电方式，其中特高压直流输电中的输电线缆、变压器，直流供电系统等导体材料均采用铜电缆。从投资规模上看，国家在电力发展中长期规划中已经提出“五交八直</w:t>
      </w:r>
      <w:r>
        <w:rPr>
          <w:rFonts w:ascii="仿宋" w:hAnsi="仿宋" w:eastAsia="仿宋" w:cs="仿宋"/>
          <w:sz w:val="28"/>
          <w:szCs w:val="28"/>
        </w:rPr>
        <w:t>"</w:t>
      </w:r>
      <w:r>
        <w:rPr>
          <w:rFonts w:hint="eastAsia" w:ascii="仿宋" w:hAnsi="仿宋" w:eastAsia="仿宋" w:cs="仿宋"/>
          <w:sz w:val="28"/>
          <w:szCs w:val="28"/>
        </w:rPr>
        <w:t>特高压工程建设，新增特高压电网投资将达到</w:t>
      </w:r>
      <w:r>
        <w:rPr>
          <w:rFonts w:ascii="仿宋" w:hAnsi="仿宋" w:eastAsia="仿宋" w:cs="仿宋"/>
          <w:sz w:val="28"/>
          <w:szCs w:val="28"/>
        </w:rPr>
        <w:t>4500</w:t>
      </w:r>
      <w:r>
        <w:rPr>
          <w:rFonts w:hint="eastAsia" w:ascii="仿宋" w:hAnsi="仿宋" w:eastAsia="仿宋" w:cs="仿宋"/>
          <w:sz w:val="28"/>
          <w:szCs w:val="28"/>
        </w:rPr>
        <w:t>亿元，带动电源和相关产业投资</w:t>
      </w:r>
      <w:r>
        <w:rPr>
          <w:rFonts w:ascii="仿宋" w:hAnsi="仿宋" w:eastAsia="仿宋" w:cs="仿宋"/>
          <w:sz w:val="28"/>
          <w:szCs w:val="28"/>
        </w:rPr>
        <w:t>1.7</w:t>
      </w:r>
      <w:r>
        <w:rPr>
          <w:rFonts w:hint="eastAsia" w:ascii="仿宋" w:hAnsi="仿宋" w:eastAsia="仿宋" w:cs="仿宋"/>
          <w:sz w:val="28"/>
          <w:szCs w:val="28"/>
        </w:rPr>
        <w:t>万亿元。到</w:t>
      </w:r>
      <w:r>
        <w:rPr>
          <w:rFonts w:ascii="仿宋" w:hAnsi="仿宋" w:eastAsia="仿宋" w:cs="仿宋"/>
          <w:sz w:val="28"/>
          <w:szCs w:val="28"/>
        </w:rPr>
        <w:t>2020</w:t>
      </w:r>
      <w:r>
        <w:rPr>
          <w:rFonts w:hint="eastAsia" w:ascii="仿宋" w:hAnsi="仿宋" w:eastAsia="仿宋" w:cs="仿宋"/>
          <w:sz w:val="28"/>
          <w:szCs w:val="28"/>
        </w:rPr>
        <w:t>年国家电网计划在国内建成“五纵五横</w:t>
      </w:r>
      <w:r>
        <w:rPr>
          <w:rFonts w:ascii="仿宋" w:hAnsi="仿宋" w:eastAsia="仿宋" w:cs="仿宋"/>
          <w:sz w:val="28"/>
          <w:szCs w:val="28"/>
        </w:rPr>
        <w:t>"</w:t>
      </w:r>
      <w:r>
        <w:rPr>
          <w:rFonts w:hint="eastAsia" w:ascii="仿宋" w:hAnsi="仿宋" w:eastAsia="仿宋" w:cs="仿宋"/>
          <w:sz w:val="28"/>
          <w:szCs w:val="28"/>
        </w:rPr>
        <w:t>特高压电网，合计</w:t>
      </w:r>
      <w:r>
        <w:rPr>
          <w:rFonts w:ascii="仿宋" w:hAnsi="仿宋" w:eastAsia="仿宋" w:cs="仿宋"/>
          <w:sz w:val="28"/>
          <w:szCs w:val="28"/>
        </w:rPr>
        <w:t>27</w:t>
      </w:r>
      <w:r>
        <w:rPr>
          <w:rFonts w:hint="eastAsia" w:ascii="仿宋" w:hAnsi="仿宋" w:eastAsia="仿宋" w:cs="仿宋"/>
          <w:sz w:val="28"/>
          <w:szCs w:val="28"/>
        </w:rPr>
        <w:t>条特高压线路。随着特高压工程建设的加速，特高压电缆制造商将迎来订单高峰期。根据测算</w:t>
      </w:r>
      <w:r>
        <w:rPr>
          <w:rFonts w:ascii="仿宋" w:hAnsi="仿宋" w:eastAsia="仿宋" w:cs="仿宋"/>
          <w:sz w:val="28"/>
          <w:szCs w:val="28"/>
        </w:rPr>
        <w:t>2020-2021</w:t>
      </w:r>
      <w:r>
        <w:rPr>
          <w:rFonts w:hint="eastAsia" w:ascii="仿宋" w:hAnsi="仿宋" w:eastAsia="仿宋" w:cs="仿宋"/>
          <w:sz w:val="28"/>
          <w:szCs w:val="28"/>
        </w:rPr>
        <w:t>年我国在建与计划新建的</w:t>
      </w:r>
      <w:r>
        <w:rPr>
          <w:rFonts w:ascii="仿宋" w:hAnsi="仿宋" w:eastAsia="仿宋" w:cs="仿宋"/>
          <w:sz w:val="28"/>
          <w:szCs w:val="28"/>
        </w:rPr>
        <w:t>10</w:t>
      </w:r>
      <w:r>
        <w:rPr>
          <w:rFonts w:hint="eastAsia" w:ascii="仿宋" w:hAnsi="仿宋" w:eastAsia="仿宋" w:cs="仿宋"/>
          <w:sz w:val="28"/>
          <w:szCs w:val="28"/>
        </w:rPr>
        <w:t>条特高压线及特高压主设备的交付金额分别为</w:t>
      </w:r>
      <w:r>
        <w:rPr>
          <w:rFonts w:ascii="仿宋" w:hAnsi="仿宋" w:eastAsia="仿宋" w:cs="仿宋"/>
          <w:sz w:val="28"/>
          <w:szCs w:val="28"/>
        </w:rPr>
        <w:t>638</w:t>
      </w:r>
      <w:r>
        <w:rPr>
          <w:rFonts w:hint="eastAsia" w:ascii="仿宋" w:hAnsi="仿宋" w:eastAsia="仿宋" w:cs="仿宋"/>
          <w:sz w:val="28"/>
          <w:szCs w:val="28"/>
        </w:rPr>
        <w:t>、</w:t>
      </w:r>
      <w:r>
        <w:rPr>
          <w:rFonts w:ascii="仿宋" w:hAnsi="仿宋" w:eastAsia="仿宋" w:cs="仿宋"/>
          <w:sz w:val="28"/>
          <w:szCs w:val="28"/>
        </w:rPr>
        <w:t>791</w:t>
      </w:r>
      <w:r>
        <w:rPr>
          <w:rFonts w:hint="eastAsia" w:ascii="仿宋" w:hAnsi="仿宋" w:eastAsia="仿宋" w:cs="仿宋"/>
          <w:sz w:val="28"/>
          <w:szCs w:val="28"/>
        </w:rPr>
        <w:t>和</w:t>
      </w:r>
      <w:r>
        <w:rPr>
          <w:rFonts w:ascii="仿宋" w:hAnsi="仿宋" w:eastAsia="仿宋" w:cs="仿宋"/>
          <w:sz w:val="28"/>
          <w:szCs w:val="28"/>
        </w:rPr>
        <w:t>629</w:t>
      </w:r>
      <w:r>
        <w:rPr>
          <w:rFonts w:hint="eastAsia" w:ascii="仿宋" w:hAnsi="仿宋" w:eastAsia="仿宋" w:cs="仿宋"/>
          <w:sz w:val="28"/>
          <w:szCs w:val="28"/>
        </w:rPr>
        <w:t>亿元。</w:t>
      </w:r>
    </w:p>
    <w:p>
      <w:pPr>
        <w:spacing w:line="360" w:lineRule="auto"/>
        <w:jc w:val="center"/>
        <w:rPr>
          <w:rFonts w:eastAsia="黑体" w:cs="Times New Roman"/>
          <w:b/>
          <w:bCs/>
        </w:rPr>
      </w:pPr>
      <w:r>
        <w:rPr>
          <w:rStyle w:val="16"/>
          <w:rFonts w:hint="eastAsia" w:ascii="黑体" w:hAnsi="黑体" w:eastAsia="黑体" w:cs="黑体"/>
          <w:b w:val="0"/>
          <w:bCs w:val="0"/>
        </w:rPr>
        <w:t>图</w:t>
      </w:r>
      <w:r>
        <w:rPr>
          <w:rStyle w:val="16"/>
          <w:rFonts w:ascii="黑体" w:hAnsi="黑体" w:eastAsia="黑体" w:cs="黑体"/>
          <w:b w:val="0"/>
          <w:bCs w:val="0"/>
        </w:rPr>
        <w:t>5-1  2020</w:t>
      </w:r>
      <w:r>
        <w:rPr>
          <w:rStyle w:val="16"/>
          <w:rFonts w:hint="eastAsia" w:ascii="黑体" w:hAnsi="黑体" w:eastAsia="黑体" w:cs="黑体"/>
          <w:b w:val="0"/>
          <w:bCs w:val="0"/>
        </w:rPr>
        <w:t>年我国电线电缆按产品分类占比</w:t>
      </w:r>
    </w:p>
    <w:p>
      <w:pPr>
        <w:spacing w:line="560" w:lineRule="exact"/>
        <w:ind w:firstLine="641"/>
        <w:rPr>
          <w:rFonts w:ascii="仿宋" w:hAnsi="仿宋" w:eastAsia="仿宋" w:cs="Times New Roman"/>
          <w:sz w:val="28"/>
          <w:szCs w:val="28"/>
        </w:rPr>
      </w:pPr>
      <w:r>
        <w:rPr>
          <w:rFonts w:hint="eastAsia" w:ascii="仿宋" w:hAnsi="仿宋" w:eastAsia="仿宋" w:cs="仿宋"/>
          <w:sz w:val="28"/>
          <w:szCs w:val="28"/>
        </w:rPr>
        <w:t>在新能源汽车电力配套上，国家电网</w:t>
      </w:r>
      <w:r>
        <w:rPr>
          <w:rFonts w:ascii="仿宋" w:hAnsi="仿宋" w:eastAsia="仿宋" w:cs="仿宋"/>
          <w:sz w:val="28"/>
          <w:szCs w:val="28"/>
        </w:rPr>
        <w:t>2020</w:t>
      </w:r>
      <w:r>
        <w:rPr>
          <w:rFonts w:hint="eastAsia" w:ascii="仿宋" w:hAnsi="仿宋" w:eastAsia="仿宋" w:cs="仿宋"/>
          <w:sz w:val="28"/>
          <w:szCs w:val="28"/>
        </w:rPr>
        <w:t>年新一轮充电桩建设计划安排充电桩建设投资</w:t>
      </w:r>
      <w:r>
        <w:rPr>
          <w:rFonts w:ascii="仿宋" w:hAnsi="仿宋" w:eastAsia="仿宋" w:cs="仿宋"/>
          <w:sz w:val="28"/>
          <w:szCs w:val="28"/>
        </w:rPr>
        <w:t>27</w:t>
      </w:r>
      <w:r>
        <w:rPr>
          <w:rFonts w:hint="eastAsia" w:ascii="仿宋" w:hAnsi="仿宋" w:eastAsia="仿宋" w:cs="仿宋"/>
          <w:sz w:val="28"/>
          <w:szCs w:val="28"/>
        </w:rPr>
        <w:t>亿元，新增充电桩</w:t>
      </w:r>
      <w:r>
        <w:rPr>
          <w:rFonts w:ascii="仿宋" w:hAnsi="仿宋" w:eastAsia="仿宋" w:cs="仿宋"/>
          <w:sz w:val="28"/>
          <w:szCs w:val="28"/>
        </w:rPr>
        <w:t>7.8</w:t>
      </w:r>
      <w:r>
        <w:rPr>
          <w:rFonts w:hint="eastAsia" w:ascii="仿宋" w:hAnsi="仿宋" w:eastAsia="仿宋" w:cs="仿宋"/>
          <w:sz w:val="28"/>
          <w:szCs w:val="28"/>
        </w:rPr>
        <w:t>万个；南网一季度开工</w:t>
      </w:r>
      <w:r>
        <w:rPr>
          <w:rFonts w:ascii="仿宋" w:hAnsi="仿宋" w:eastAsia="仿宋" w:cs="仿宋"/>
          <w:sz w:val="28"/>
          <w:szCs w:val="28"/>
        </w:rPr>
        <w:t>5</w:t>
      </w:r>
      <w:r>
        <w:rPr>
          <w:rFonts w:hint="eastAsia" w:ascii="仿宋" w:hAnsi="仿宋" w:eastAsia="仿宋" w:cs="仿宋"/>
          <w:sz w:val="28"/>
          <w:szCs w:val="28"/>
        </w:rPr>
        <w:t>个充电站、</w:t>
      </w:r>
      <w:r>
        <w:rPr>
          <w:rFonts w:ascii="仿宋" w:hAnsi="仿宋" w:eastAsia="仿宋" w:cs="仿宋"/>
          <w:sz w:val="28"/>
          <w:szCs w:val="28"/>
        </w:rPr>
        <w:t>86</w:t>
      </w:r>
      <w:r>
        <w:rPr>
          <w:rFonts w:hint="eastAsia" w:ascii="仿宋" w:hAnsi="仿宋" w:eastAsia="仿宋" w:cs="仿宋"/>
          <w:sz w:val="28"/>
          <w:szCs w:val="28"/>
        </w:rPr>
        <w:t>个充电桩，计划</w:t>
      </w:r>
      <w:r>
        <w:rPr>
          <w:rFonts w:ascii="仿宋" w:hAnsi="仿宋" w:eastAsia="仿宋" w:cs="仿宋"/>
          <w:sz w:val="28"/>
          <w:szCs w:val="28"/>
        </w:rPr>
        <w:t>2020</w:t>
      </w:r>
      <w:r>
        <w:rPr>
          <w:rFonts w:hint="eastAsia" w:ascii="仿宋" w:hAnsi="仿宋" w:eastAsia="仿宋" w:cs="仿宋"/>
          <w:sz w:val="28"/>
          <w:szCs w:val="28"/>
        </w:rPr>
        <w:t>年投资</w:t>
      </w:r>
      <w:r>
        <w:rPr>
          <w:rFonts w:ascii="仿宋" w:hAnsi="仿宋" w:eastAsia="仿宋" w:cs="仿宋"/>
          <w:sz w:val="28"/>
          <w:szCs w:val="28"/>
        </w:rPr>
        <w:t>12</w:t>
      </w:r>
      <w:r>
        <w:rPr>
          <w:rFonts w:hint="eastAsia" w:ascii="仿宋" w:hAnsi="仿宋" w:eastAsia="仿宋" w:cs="仿宋"/>
          <w:sz w:val="28"/>
          <w:szCs w:val="28"/>
        </w:rPr>
        <w:t>亿元建设充电基础设施。根据中国充电联盟（</w:t>
      </w:r>
      <w:r>
        <w:rPr>
          <w:rFonts w:ascii="仿宋" w:hAnsi="仿宋" w:eastAsia="仿宋" w:cs="仿宋"/>
          <w:sz w:val="28"/>
          <w:szCs w:val="28"/>
        </w:rPr>
        <w:t>EVCIPA</w:t>
      </w:r>
      <w:r>
        <w:rPr>
          <w:rFonts w:hint="eastAsia" w:ascii="仿宋" w:hAnsi="仿宋" w:eastAsia="仿宋" w:cs="仿宋"/>
          <w:sz w:val="28"/>
          <w:szCs w:val="28"/>
        </w:rPr>
        <w:t>）统计数据报告，</w:t>
      </w:r>
      <w:r>
        <w:rPr>
          <w:rFonts w:ascii="仿宋" w:hAnsi="仿宋" w:eastAsia="仿宋" w:cs="仿宋"/>
          <w:sz w:val="28"/>
          <w:szCs w:val="28"/>
        </w:rPr>
        <w:t>2020</w:t>
      </w:r>
      <w:r>
        <w:rPr>
          <w:rFonts w:hint="eastAsia" w:ascii="仿宋" w:hAnsi="仿宋" w:eastAsia="仿宋" w:cs="仿宋"/>
          <w:sz w:val="28"/>
          <w:szCs w:val="28"/>
        </w:rPr>
        <w:t>年共收到成员报告公共充电桩数量</w:t>
      </w:r>
      <w:r>
        <w:rPr>
          <w:rFonts w:ascii="仿宋" w:hAnsi="仿宋" w:eastAsia="仿宋" w:cs="仿宋"/>
          <w:sz w:val="28"/>
          <w:szCs w:val="28"/>
        </w:rPr>
        <w:t>80.7</w:t>
      </w:r>
      <w:r>
        <w:rPr>
          <w:rFonts w:hint="eastAsia" w:ascii="仿宋" w:hAnsi="仿宋" w:eastAsia="仿宋" w:cs="仿宋"/>
          <w:sz w:val="28"/>
          <w:szCs w:val="28"/>
        </w:rPr>
        <w:t>万台，其中交流充电桩</w:t>
      </w:r>
      <w:r>
        <w:rPr>
          <w:rFonts w:ascii="仿宋" w:hAnsi="仿宋" w:eastAsia="仿宋" w:cs="仿宋"/>
          <w:sz w:val="28"/>
          <w:szCs w:val="28"/>
        </w:rPr>
        <w:t>49.8</w:t>
      </w:r>
      <w:r>
        <w:rPr>
          <w:rFonts w:hint="eastAsia" w:ascii="仿宋" w:hAnsi="仿宋" w:eastAsia="仿宋" w:cs="仿宋"/>
          <w:sz w:val="28"/>
          <w:szCs w:val="28"/>
        </w:rPr>
        <w:t>万台，占比</w:t>
      </w:r>
      <w:r>
        <w:rPr>
          <w:rFonts w:ascii="仿宋" w:hAnsi="仿宋" w:eastAsia="仿宋" w:cs="仿宋"/>
          <w:sz w:val="28"/>
          <w:szCs w:val="28"/>
        </w:rPr>
        <w:t>61.68%</w:t>
      </w:r>
      <w:r>
        <w:rPr>
          <w:rFonts w:hint="eastAsia" w:ascii="仿宋" w:hAnsi="仿宋" w:eastAsia="仿宋" w:cs="仿宋"/>
          <w:sz w:val="28"/>
          <w:szCs w:val="28"/>
        </w:rPr>
        <w:t>；直流充电桩</w:t>
      </w:r>
      <w:r>
        <w:rPr>
          <w:rFonts w:ascii="仿宋" w:hAnsi="仿宋" w:eastAsia="仿宋" w:cs="仿宋"/>
          <w:sz w:val="28"/>
          <w:szCs w:val="28"/>
        </w:rPr>
        <w:t>30.9</w:t>
      </w:r>
      <w:r>
        <w:rPr>
          <w:rFonts w:hint="eastAsia" w:ascii="仿宋" w:hAnsi="仿宋" w:eastAsia="仿宋" w:cs="仿宋"/>
          <w:sz w:val="28"/>
          <w:szCs w:val="28"/>
        </w:rPr>
        <w:t>万台，占比</w:t>
      </w:r>
      <w:r>
        <w:rPr>
          <w:rFonts w:ascii="仿宋" w:hAnsi="仿宋" w:eastAsia="仿宋" w:cs="仿宋"/>
          <w:sz w:val="28"/>
          <w:szCs w:val="28"/>
        </w:rPr>
        <w:t>38.27%</w:t>
      </w:r>
      <w:r>
        <w:rPr>
          <w:rFonts w:hint="eastAsia" w:ascii="仿宋" w:hAnsi="仿宋" w:eastAsia="仿宋" w:cs="仿宋"/>
          <w:sz w:val="28"/>
          <w:szCs w:val="28"/>
        </w:rPr>
        <w:t>；交直流一体充电桩</w:t>
      </w:r>
      <w:r>
        <w:rPr>
          <w:rFonts w:ascii="仿宋" w:hAnsi="仿宋" w:eastAsia="仿宋" w:cs="仿宋"/>
          <w:sz w:val="28"/>
          <w:szCs w:val="28"/>
        </w:rPr>
        <w:t>481</w:t>
      </w:r>
      <w:r>
        <w:rPr>
          <w:rFonts w:hint="eastAsia" w:ascii="仿宋" w:hAnsi="仿宋" w:eastAsia="仿宋" w:cs="仿宋"/>
          <w:sz w:val="28"/>
          <w:szCs w:val="28"/>
        </w:rPr>
        <w:t>台，占比约</w:t>
      </w:r>
      <w:r>
        <w:rPr>
          <w:rFonts w:ascii="仿宋" w:hAnsi="仿宋" w:eastAsia="仿宋" w:cs="仿宋"/>
          <w:sz w:val="28"/>
          <w:szCs w:val="28"/>
        </w:rPr>
        <w:t>0.05%</w:t>
      </w:r>
      <w:r>
        <w:rPr>
          <w:rFonts w:hint="eastAsia" w:ascii="仿宋" w:hAnsi="仿宋" w:eastAsia="仿宋" w:cs="仿宋"/>
          <w:sz w:val="28"/>
          <w:szCs w:val="28"/>
        </w:rPr>
        <w:t>。预计</w:t>
      </w:r>
      <w:r>
        <w:rPr>
          <w:rFonts w:ascii="仿宋" w:hAnsi="仿宋" w:eastAsia="仿宋" w:cs="仿宋"/>
          <w:sz w:val="28"/>
          <w:szCs w:val="28"/>
        </w:rPr>
        <w:t>2025</w:t>
      </w:r>
      <w:r>
        <w:rPr>
          <w:rFonts w:hint="eastAsia" w:ascii="仿宋" w:hAnsi="仿宋" w:eastAsia="仿宋" w:cs="仿宋"/>
          <w:sz w:val="28"/>
          <w:szCs w:val="28"/>
        </w:rPr>
        <w:t>年我国充电桩保有量将达到</w:t>
      </w:r>
      <w:r>
        <w:rPr>
          <w:rFonts w:ascii="仿宋" w:hAnsi="仿宋" w:eastAsia="仿宋" w:cs="仿宋"/>
          <w:sz w:val="28"/>
          <w:szCs w:val="28"/>
        </w:rPr>
        <w:t>700</w:t>
      </w:r>
      <w:r>
        <w:rPr>
          <w:rFonts w:hint="eastAsia" w:ascii="仿宋" w:hAnsi="仿宋" w:eastAsia="仿宋" w:cs="仿宋"/>
          <w:sz w:val="28"/>
          <w:szCs w:val="28"/>
        </w:rPr>
        <w:t>万个，预计到</w:t>
      </w:r>
      <w:r>
        <w:rPr>
          <w:rFonts w:ascii="仿宋" w:hAnsi="仿宋" w:eastAsia="仿宋" w:cs="仿宋"/>
          <w:sz w:val="28"/>
          <w:szCs w:val="28"/>
        </w:rPr>
        <w:t>2030</w:t>
      </w:r>
      <w:r>
        <w:rPr>
          <w:rFonts w:hint="eastAsia" w:ascii="仿宋" w:hAnsi="仿宋" w:eastAsia="仿宋" w:cs="仿宋"/>
          <w:sz w:val="28"/>
          <w:szCs w:val="28"/>
        </w:rPr>
        <w:t>年全球预计会部署</w:t>
      </w:r>
      <w:r>
        <w:rPr>
          <w:rFonts w:ascii="仿宋" w:hAnsi="仿宋" w:eastAsia="仿宋" w:cs="仿宋"/>
          <w:sz w:val="28"/>
          <w:szCs w:val="28"/>
        </w:rPr>
        <w:t>1.19</w:t>
      </w:r>
      <w:r>
        <w:rPr>
          <w:rFonts w:hint="eastAsia" w:ascii="仿宋" w:hAnsi="仿宋" w:eastAsia="仿宋" w:cs="仿宋"/>
          <w:sz w:val="28"/>
          <w:szCs w:val="28"/>
        </w:rPr>
        <w:t>亿</w:t>
      </w:r>
      <w:r>
        <w:rPr>
          <w:rFonts w:ascii="仿宋" w:hAnsi="仿宋" w:eastAsia="仿宋" w:cs="仿宋"/>
          <w:sz w:val="28"/>
          <w:szCs w:val="28"/>
        </w:rPr>
        <w:t>—1.36</w:t>
      </w:r>
      <w:r>
        <w:rPr>
          <w:rFonts w:hint="eastAsia" w:ascii="仿宋" w:hAnsi="仿宋" w:eastAsia="仿宋" w:cs="仿宋"/>
          <w:sz w:val="28"/>
          <w:szCs w:val="28"/>
        </w:rPr>
        <w:t>亿台公共充电桩。以家用充电桩按铜消费约</w:t>
      </w:r>
      <w:r>
        <w:rPr>
          <w:rFonts w:ascii="仿宋" w:hAnsi="仿宋" w:eastAsia="仿宋" w:cs="仿宋"/>
          <w:sz w:val="28"/>
          <w:szCs w:val="28"/>
        </w:rPr>
        <w:t>2</w:t>
      </w:r>
      <w:r>
        <w:rPr>
          <w:rFonts w:hint="eastAsia" w:ascii="仿宋" w:hAnsi="仿宋" w:eastAsia="仿宋" w:cs="仿宋"/>
          <w:sz w:val="28"/>
          <w:szCs w:val="28"/>
        </w:rPr>
        <w:t>公斤</w:t>
      </w:r>
      <w:r>
        <w:rPr>
          <w:rFonts w:ascii="仿宋" w:hAnsi="仿宋" w:eastAsia="仿宋" w:cs="仿宋"/>
          <w:sz w:val="28"/>
          <w:szCs w:val="28"/>
        </w:rPr>
        <w:t>/</w:t>
      </w:r>
      <w:r>
        <w:rPr>
          <w:rFonts w:hint="eastAsia" w:ascii="仿宋" w:hAnsi="仿宋" w:eastAsia="仿宋" w:cs="仿宋"/>
          <w:sz w:val="28"/>
          <w:szCs w:val="28"/>
        </w:rPr>
        <w:t>个，公共充电站</w:t>
      </w:r>
      <w:r>
        <w:rPr>
          <w:rFonts w:ascii="仿宋" w:hAnsi="仿宋" w:eastAsia="仿宋" w:cs="仿宋"/>
          <w:sz w:val="28"/>
          <w:szCs w:val="28"/>
        </w:rPr>
        <w:t>7</w:t>
      </w:r>
      <w:r>
        <w:rPr>
          <w:rFonts w:hint="eastAsia" w:ascii="仿宋" w:hAnsi="仿宋" w:eastAsia="仿宋" w:cs="仿宋"/>
          <w:sz w:val="28"/>
          <w:szCs w:val="28"/>
        </w:rPr>
        <w:t>公斤</w:t>
      </w:r>
      <w:r>
        <w:rPr>
          <w:rFonts w:ascii="仿宋" w:hAnsi="仿宋" w:eastAsia="仿宋" w:cs="仿宋"/>
          <w:sz w:val="28"/>
          <w:szCs w:val="28"/>
        </w:rPr>
        <w:t>/</w:t>
      </w:r>
      <w:r>
        <w:rPr>
          <w:rFonts w:hint="eastAsia" w:ascii="仿宋" w:hAnsi="仿宋" w:eastAsia="仿宋" w:cs="仿宋"/>
          <w:sz w:val="28"/>
          <w:szCs w:val="28"/>
        </w:rPr>
        <w:t>个，直流快速充电站</w:t>
      </w:r>
      <w:r>
        <w:rPr>
          <w:rFonts w:ascii="仿宋" w:hAnsi="仿宋" w:eastAsia="仿宋" w:cs="仿宋"/>
          <w:sz w:val="28"/>
          <w:szCs w:val="28"/>
        </w:rPr>
        <w:t>25</w:t>
      </w:r>
      <w:r>
        <w:rPr>
          <w:rFonts w:hint="eastAsia" w:ascii="仿宋" w:hAnsi="仿宋" w:eastAsia="仿宋" w:cs="仿宋"/>
          <w:sz w:val="28"/>
          <w:szCs w:val="28"/>
        </w:rPr>
        <w:t>公斤</w:t>
      </w:r>
      <w:r>
        <w:rPr>
          <w:rFonts w:ascii="仿宋" w:hAnsi="仿宋" w:eastAsia="仿宋" w:cs="仿宋"/>
          <w:sz w:val="28"/>
          <w:szCs w:val="28"/>
        </w:rPr>
        <w:t>/</w:t>
      </w:r>
      <w:r>
        <w:rPr>
          <w:rFonts w:hint="eastAsia" w:ascii="仿宋" w:hAnsi="仿宋" w:eastAsia="仿宋" w:cs="仿宋"/>
          <w:sz w:val="28"/>
          <w:szCs w:val="28"/>
        </w:rPr>
        <w:t>个计算，预计每年我国新增铜板带、铜箔、铜线材的消费量约</w:t>
      </w:r>
      <w:r>
        <w:rPr>
          <w:rFonts w:ascii="仿宋" w:hAnsi="仿宋" w:eastAsia="仿宋" w:cs="仿宋"/>
          <w:sz w:val="28"/>
          <w:szCs w:val="28"/>
        </w:rPr>
        <w:t>6</w:t>
      </w:r>
      <w:r>
        <w:rPr>
          <w:rFonts w:hint="eastAsia" w:ascii="仿宋" w:hAnsi="仿宋" w:eastAsia="仿宋" w:cs="仿宋"/>
          <w:sz w:val="28"/>
          <w:szCs w:val="28"/>
        </w:rPr>
        <w:t>万吨。</w:t>
      </w:r>
    </w:p>
    <w:p>
      <w:pPr>
        <w:ind w:firstLine="560"/>
        <w:rPr>
          <w:rFonts w:ascii="仿宋" w:hAnsi="仿宋" w:eastAsia="仿宋" w:cs="Times New Roman"/>
          <w:sz w:val="28"/>
          <w:szCs w:val="28"/>
        </w:rPr>
      </w:pPr>
      <w:r>
        <w:rPr>
          <w:rFonts w:ascii="Calibri" w:hAnsi="Calibri" w:eastAsia="宋体" w:cs="Calibri"/>
          <w:kern w:val="2"/>
          <w:sz w:val="21"/>
          <w:szCs w:val="21"/>
          <w:lang w:val="en-US" w:eastAsia="zh-CN" w:bidi="ar-SA"/>
        </w:rPr>
        <w:pict>
          <v:shape id="图片 3" o:spid="_x0000_s1029" type="#_x0000_t75" style="position:absolute;left:0;margin-left:16.35pt;margin-top:11.4pt;height:163pt;width:414.15pt;mso-position-horizontal-relative:margin;rotation:0f;z-index:251663360;" o:ole="f" fillcolor="#FFFFFF" filled="f" o:preferrelative="t" stroked="f" coordorigin="0,0" coordsize="21600,21600">
            <v:fill on="f" color2="#FFFFFF" focus="0%"/>
            <v:imagedata gain="65536f" blacklevel="0f" gamma="0" o:title="" r:id="rId9"/>
            <o:lock v:ext="edit" position="f" selection="f" grouping="f" rotation="f" cropping="f" text="f" aspectratio="t"/>
          </v:shape>
        </w:pict>
      </w:r>
    </w:p>
    <w:p>
      <w:pPr>
        <w:ind w:firstLine="560"/>
        <w:rPr>
          <w:rFonts w:ascii="仿宋" w:hAnsi="仿宋" w:eastAsia="仿宋" w:cs="Times New Roman"/>
          <w:sz w:val="28"/>
          <w:szCs w:val="28"/>
        </w:rPr>
      </w:pPr>
    </w:p>
    <w:p>
      <w:pPr>
        <w:ind w:firstLine="560"/>
        <w:rPr>
          <w:rFonts w:ascii="仿宋" w:hAnsi="仿宋" w:eastAsia="仿宋" w:cs="Times New Roman"/>
          <w:sz w:val="28"/>
          <w:szCs w:val="28"/>
        </w:rPr>
      </w:pPr>
    </w:p>
    <w:p>
      <w:pPr>
        <w:ind w:firstLine="560"/>
        <w:rPr>
          <w:rFonts w:ascii="仿宋" w:hAnsi="仿宋" w:eastAsia="仿宋" w:cs="Times New Roman"/>
          <w:sz w:val="28"/>
          <w:szCs w:val="28"/>
        </w:rPr>
      </w:pPr>
    </w:p>
    <w:p>
      <w:pPr>
        <w:ind w:firstLine="560"/>
        <w:rPr>
          <w:rFonts w:ascii="仿宋" w:hAnsi="仿宋" w:eastAsia="仿宋" w:cs="Times New Roman"/>
          <w:sz w:val="28"/>
          <w:szCs w:val="28"/>
        </w:rPr>
      </w:pPr>
    </w:p>
    <w:p>
      <w:pPr>
        <w:ind w:firstLine="560"/>
        <w:rPr>
          <w:rFonts w:ascii="仿宋" w:hAnsi="仿宋" w:eastAsia="仿宋" w:cs="Times New Roman"/>
          <w:sz w:val="28"/>
          <w:szCs w:val="28"/>
        </w:rPr>
      </w:pPr>
    </w:p>
    <w:p>
      <w:pPr>
        <w:spacing w:line="360" w:lineRule="auto"/>
        <w:jc w:val="center"/>
        <w:rPr>
          <w:rStyle w:val="16"/>
          <w:rFonts w:ascii="黑体" w:hAnsi="黑体" w:eastAsia="黑体" w:cs="Times New Roman"/>
          <w:b w:val="0"/>
          <w:bCs w:val="0"/>
        </w:rPr>
      </w:pPr>
      <w:r>
        <w:rPr>
          <w:rStyle w:val="16"/>
          <w:rFonts w:hint="eastAsia" w:ascii="黑体" w:hAnsi="黑体" w:eastAsia="黑体" w:cs="黑体"/>
          <w:b w:val="0"/>
          <w:bCs w:val="0"/>
        </w:rPr>
        <w:t>图</w:t>
      </w:r>
      <w:r>
        <w:rPr>
          <w:rStyle w:val="16"/>
          <w:rFonts w:ascii="黑体" w:hAnsi="黑体" w:eastAsia="黑体" w:cs="黑体"/>
          <w:b w:val="0"/>
          <w:bCs w:val="0"/>
        </w:rPr>
        <w:t>5-2  2020-2025</w:t>
      </w:r>
      <w:r>
        <w:rPr>
          <w:rStyle w:val="16"/>
          <w:rFonts w:hint="eastAsia" w:ascii="黑体" w:hAnsi="黑体" w:eastAsia="黑体" w:cs="黑体"/>
          <w:b w:val="0"/>
          <w:bCs w:val="0"/>
        </w:rPr>
        <w:t>年中国新能源汽车充电桩建设数量预测</w:t>
      </w:r>
    </w:p>
    <w:p>
      <w:pPr>
        <w:ind w:firstLine="560"/>
        <w:rPr>
          <w:rFonts w:ascii="仿宋" w:hAnsi="仿宋" w:eastAsia="仿宋" w:cs="Times New Roman"/>
          <w:spacing w:val="-4"/>
          <w:sz w:val="28"/>
          <w:szCs w:val="28"/>
        </w:rPr>
      </w:pPr>
      <w:r>
        <w:rPr>
          <w:rFonts w:hint="eastAsia" w:ascii="仿宋" w:hAnsi="仿宋" w:eastAsia="仿宋" w:cs="仿宋"/>
          <w:spacing w:val="-4"/>
          <w:sz w:val="28"/>
          <w:szCs w:val="28"/>
        </w:rPr>
        <w:t>电力行业是我国的基础工业，国家一直不遗余力的大力在电力工业的投资，</w:t>
      </w:r>
      <w:r>
        <w:rPr>
          <w:rFonts w:hint="eastAsia" w:ascii="仿宋" w:hAnsi="仿宋" w:eastAsia="仿宋" w:cs="仿宋"/>
          <w:sz w:val="28"/>
          <w:szCs w:val="28"/>
        </w:rPr>
        <w:t>“新基建”电力特高压的建设，预示着对铜消费需求将大幅增长，主要铜材包括：电力电缆用铜导体线材、电缆带、变压器带、电磁线、特高压直流电缆用铜导体线、换流站变压器铜带、导电铜排、导电铜管等各类铜材。</w:t>
      </w:r>
      <w:r>
        <w:rPr>
          <w:rFonts w:hint="eastAsia" w:ascii="仿宋" w:hAnsi="仿宋" w:eastAsia="仿宋" w:cs="仿宋"/>
          <w:spacing w:val="-4"/>
          <w:sz w:val="28"/>
          <w:szCs w:val="28"/>
        </w:rPr>
        <w:t>未来五年电力依然是重要的投资和建设领域，对铜消费继续保持增长，预计到</w:t>
      </w:r>
      <w:r>
        <w:rPr>
          <w:rFonts w:ascii="仿宋" w:hAnsi="仿宋" w:eastAsia="仿宋" w:cs="仿宋"/>
          <w:spacing w:val="-4"/>
          <w:sz w:val="28"/>
          <w:szCs w:val="28"/>
        </w:rPr>
        <w:t>2025</w:t>
      </w:r>
      <w:r>
        <w:rPr>
          <w:rFonts w:hint="eastAsia" w:ascii="仿宋" w:hAnsi="仿宋" w:eastAsia="仿宋" w:cs="仿宋"/>
          <w:spacing w:val="-4"/>
          <w:sz w:val="28"/>
          <w:szCs w:val="28"/>
        </w:rPr>
        <w:t>年电力行业铜材消费量增长到</w:t>
      </w:r>
      <w:r>
        <w:rPr>
          <w:rFonts w:ascii="仿宋" w:hAnsi="仿宋" w:eastAsia="仿宋" w:cs="仿宋"/>
          <w:spacing w:val="-4"/>
          <w:sz w:val="28"/>
          <w:szCs w:val="28"/>
        </w:rPr>
        <w:t>870</w:t>
      </w:r>
      <w:r>
        <w:rPr>
          <w:rFonts w:hint="eastAsia" w:ascii="仿宋" w:hAnsi="仿宋" w:eastAsia="仿宋" w:cs="仿宋"/>
          <w:spacing w:val="-4"/>
          <w:sz w:val="28"/>
          <w:szCs w:val="28"/>
        </w:rPr>
        <w:t>万吨，较</w:t>
      </w:r>
      <w:r>
        <w:rPr>
          <w:rFonts w:ascii="仿宋" w:hAnsi="仿宋" w:eastAsia="仿宋" w:cs="仿宋"/>
          <w:spacing w:val="-4"/>
          <w:sz w:val="28"/>
          <w:szCs w:val="28"/>
        </w:rPr>
        <w:t>2020</w:t>
      </w:r>
      <w:r>
        <w:rPr>
          <w:rFonts w:hint="eastAsia" w:ascii="仿宋" w:hAnsi="仿宋" w:eastAsia="仿宋" w:cs="仿宋"/>
          <w:spacing w:val="-4"/>
          <w:sz w:val="28"/>
          <w:szCs w:val="28"/>
        </w:rPr>
        <w:t>年增长了</w:t>
      </w:r>
      <w:r>
        <w:rPr>
          <w:rFonts w:ascii="仿宋" w:hAnsi="仿宋" w:eastAsia="仿宋" w:cs="仿宋"/>
          <w:spacing w:val="-4"/>
          <w:sz w:val="28"/>
          <w:szCs w:val="28"/>
        </w:rPr>
        <w:t>5.7%</w:t>
      </w:r>
      <w:r>
        <w:rPr>
          <w:rFonts w:hint="eastAsia" w:ascii="仿宋" w:hAnsi="仿宋" w:eastAsia="仿宋" w:cs="仿宋"/>
          <w:spacing w:val="-4"/>
          <w:sz w:val="28"/>
          <w:szCs w:val="28"/>
        </w:rPr>
        <w:t>。其中电力电缆铜材的消费量约为</w:t>
      </w:r>
      <w:r>
        <w:rPr>
          <w:rFonts w:ascii="仿宋" w:hAnsi="仿宋" w:eastAsia="仿宋" w:cs="仿宋"/>
          <w:spacing w:val="-4"/>
          <w:sz w:val="28"/>
          <w:szCs w:val="28"/>
        </w:rPr>
        <w:t>294</w:t>
      </w:r>
      <w:r>
        <w:rPr>
          <w:rFonts w:hint="eastAsia" w:ascii="仿宋" w:hAnsi="仿宋" w:eastAsia="仿宋" w:cs="仿宋"/>
          <w:spacing w:val="-4"/>
          <w:sz w:val="28"/>
          <w:szCs w:val="28"/>
        </w:rPr>
        <w:t>万吨，绕组线约为</w:t>
      </w:r>
      <w:r>
        <w:rPr>
          <w:rFonts w:ascii="仿宋" w:hAnsi="仿宋" w:eastAsia="仿宋" w:cs="仿宋"/>
          <w:spacing w:val="-4"/>
          <w:sz w:val="28"/>
          <w:szCs w:val="28"/>
        </w:rPr>
        <w:t>289</w:t>
      </w:r>
      <w:r>
        <w:rPr>
          <w:rFonts w:hint="eastAsia" w:ascii="仿宋" w:hAnsi="仿宋" w:eastAsia="仿宋" w:cs="仿宋"/>
          <w:spacing w:val="-4"/>
          <w:sz w:val="28"/>
          <w:szCs w:val="28"/>
        </w:rPr>
        <w:t>万吨，电气装备用电线电缆约为</w:t>
      </w:r>
      <w:r>
        <w:rPr>
          <w:rFonts w:ascii="仿宋" w:hAnsi="仿宋" w:eastAsia="仿宋" w:cs="仿宋"/>
          <w:spacing w:val="-4"/>
          <w:sz w:val="28"/>
          <w:szCs w:val="28"/>
        </w:rPr>
        <w:t>209</w:t>
      </w:r>
      <w:r>
        <w:rPr>
          <w:rFonts w:hint="eastAsia" w:ascii="仿宋" w:hAnsi="仿宋" w:eastAsia="仿宋" w:cs="仿宋"/>
          <w:spacing w:val="-4"/>
          <w:sz w:val="28"/>
          <w:szCs w:val="28"/>
        </w:rPr>
        <w:t>万吨，通讯线缆约为</w:t>
      </w:r>
      <w:r>
        <w:rPr>
          <w:rFonts w:ascii="仿宋" w:hAnsi="仿宋" w:eastAsia="仿宋" w:cs="仿宋"/>
          <w:spacing w:val="-4"/>
          <w:sz w:val="28"/>
          <w:szCs w:val="28"/>
        </w:rPr>
        <w:t>61</w:t>
      </w:r>
      <w:r>
        <w:rPr>
          <w:rFonts w:hint="eastAsia" w:ascii="仿宋" w:hAnsi="仿宋" w:eastAsia="仿宋" w:cs="仿宋"/>
          <w:spacing w:val="-4"/>
          <w:sz w:val="28"/>
          <w:szCs w:val="28"/>
        </w:rPr>
        <w:t>万吨，其他约为</w:t>
      </w:r>
      <w:r>
        <w:rPr>
          <w:rFonts w:ascii="仿宋" w:hAnsi="仿宋" w:eastAsia="仿宋" w:cs="仿宋"/>
          <w:spacing w:val="-4"/>
          <w:sz w:val="28"/>
          <w:szCs w:val="28"/>
        </w:rPr>
        <w:t>17</w:t>
      </w:r>
      <w:r>
        <w:rPr>
          <w:rFonts w:hint="eastAsia" w:ascii="仿宋" w:hAnsi="仿宋" w:eastAsia="仿宋" w:cs="仿宋"/>
          <w:spacing w:val="-4"/>
          <w:sz w:val="28"/>
          <w:szCs w:val="28"/>
        </w:rPr>
        <w:t>万吨。</w:t>
      </w:r>
    </w:p>
    <w:p>
      <w:pPr>
        <w:ind w:firstLine="560"/>
        <w:rPr>
          <w:rFonts w:ascii="仿宋" w:hAnsi="仿宋" w:eastAsia="仿宋" w:cs="Times New Roman"/>
          <w:color w:val="FF0000"/>
          <w:spacing w:val="-4"/>
          <w:sz w:val="28"/>
          <w:szCs w:val="28"/>
        </w:rPr>
      </w:pPr>
      <w:r>
        <w:rPr>
          <w:rFonts w:ascii="Calibri" w:hAnsi="Calibri" w:eastAsia="宋体" w:cs="Calibri"/>
          <w:kern w:val="2"/>
          <w:sz w:val="21"/>
          <w:szCs w:val="21"/>
          <w:lang w:val="en-US" w:eastAsia="zh-CN" w:bidi="ar-SA"/>
        </w:rPr>
        <w:pict>
          <v:shape id="_x0000_s1029" o:spid="_x0000_s1030" type="#_x0000_t75" style="position:absolute;left:0;margin-left:19.15pt;margin-top:8.4pt;height:182.6pt;width:414.55pt;rotation:0f;z-index:251662336;" o:ole="f" fillcolor="#FFFFFF" filled="f" o:preferrelative="t" stroked="f" coordorigin="0,0" coordsize="21600,21600">
            <v:fill on="f" color2="#FFFFFF" focus="0%"/>
            <v:imagedata gain="65536f" blacklevel="0f" gamma="0" o:title="" r:id="rId10"/>
            <o:lock v:ext="edit" position="f" selection="f" grouping="f" rotation="f" cropping="f" text="f" aspectratio="t"/>
          </v:shape>
        </w:pict>
      </w:r>
    </w:p>
    <w:p>
      <w:pPr>
        <w:ind w:firstLine="560"/>
        <w:rPr>
          <w:rFonts w:ascii="仿宋" w:hAnsi="仿宋" w:eastAsia="仿宋" w:cs="Times New Roman"/>
          <w:color w:val="FF0000"/>
          <w:spacing w:val="-4"/>
          <w:sz w:val="28"/>
          <w:szCs w:val="28"/>
        </w:rPr>
      </w:pPr>
    </w:p>
    <w:p>
      <w:pPr>
        <w:ind w:firstLine="560"/>
        <w:rPr>
          <w:rFonts w:ascii="仿宋" w:hAnsi="仿宋" w:eastAsia="仿宋" w:cs="Times New Roman"/>
          <w:color w:val="FF0000"/>
          <w:spacing w:val="-4"/>
          <w:sz w:val="28"/>
          <w:szCs w:val="28"/>
        </w:rPr>
      </w:pPr>
    </w:p>
    <w:p>
      <w:pPr>
        <w:ind w:firstLine="560"/>
        <w:rPr>
          <w:rFonts w:ascii="仿宋" w:hAnsi="仿宋" w:eastAsia="仿宋" w:cs="Times New Roman"/>
          <w:color w:val="FF0000"/>
          <w:spacing w:val="-4"/>
          <w:sz w:val="28"/>
          <w:szCs w:val="28"/>
        </w:rPr>
      </w:pPr>
    </w:p>
    <w:p>
      <w:pPr>
        <w:ind w:firstLine="560"/>
        <w:rPr>
          <w:rFonts w:ascii="仿宋" w:hAnsi="仿宋" w:eastAsia="仿宋" w:cs="Times New Roman"/>
          <w:color w:val="FF0000"/>
          <w:spacing w:val="-4"/>
          <w:sz w:val="28"/>
          <w:szCs w:val="28"/>
        </w:rPr>
      </w:pPr>
    </w:p>
    <w:p>
      <w:pPr>
        <w:ind w:firstLine="560"/>
        <w:rPr>
          <w:rFonts w:ascii="仿宋" w:hAnsi="仿宋" w:eastAsia="仿宋" w:cs="Times New Roman"/>
          <w:color w:val="FF0000"/>
          <w:spacing w:val="-4"/>
          <w:sz w:val="28"/>
          <w:szCs w:val="28"/>
        </w:rPr>
      </w:pPr>
    </w:p>
    <w:p>
      <w:pPr>
        <w:spacing w:line="360" w:lineRule="auto"/>
        <w:ind w:firstLine="561"/>
        <w:jc w:val="center"/>
        <w:rPr>
          <w:rFonts w:ascii="仿宋" w:hAnsi="仿宋" w:eastAsia="仿宋" w:cs="Times New Roman"/>
          <w:b/>
          <w:bCs/>
          <w:spacing w:val="-4"/>
          <w:sz w:val="28"/>
          <w:szCs w:val="28"/>
        </w:rPr>
      </w:pPr>
      <w:r>
        <w:rPr>
          <w:rStyle w:val="16"/>
          <w:rFonts w:hint="eastAsia" w:ascii="黑体" w:hAnsi="黑体" w:eastAsia="黑体" w:cs="黑体"/>
          <w:b w:val="0"/>
          <w:bCs w:val="0"/>
        </w:rPr>
        <w:t>图</w:t>
      </w:r>
      <w:r>
        <w:rPr>
          <w:rStyle w:val="16"/>
          <w:rFonts w:ascii="黑体" w:hAnsi="黑体" w:eastAsia="黑体" w:cs="黑体"/>
          <w:b w:val="0"/>
          <w:bCs w:val="0"/>
        </w:rPr>
        <w:t>5-3  2015-2020</w:t>
      </w:r>
      <w:r>
        <w:rPr>
          <w:rStyle w:val="16"/>
          <w:rFonts w:hint="eastAsia" w:ascii="黑体" w:hAnsi="黑体" w:eastAsia="黑体" w:cs="黑体"/>
          <w:b w:val="0"/>
          <w:bCs w:val="0"/>
        </w:rPr>
        <w:t>年中国电力累计投资完成额</w:t>
      </w:r>
    </w:p>
    <w:p>
      <w:pPr>
        <w:pStyle w:val="5"/>
        <w:spacing w:before="240" w:after="120" w:line="377" w:lineRule="auto"/>
        <w:rPr>
          <w:rFonts w:ascii="仿宋" w:hAnsi="仿宋" w:eastAsia="仿宋" w:cs="Times New Roman"/>
        </w:rPr>
      </w:pPr>
      <w:r>
        <w:rPr>
          <w:rFonts w:hint="eastAsia" w:ascii="仿宋" w:hAnsi="仿宋" w:eastAsia="仿宋" w:cs="仿宋"/>
        </w:rPr>
        <w:t>（</w:t>
      </w:r>
      <w:r>
        <w:rPr>
          <w:rFonts w:ascii="仿宋" w:hAnsi="仿宋" w:eastAsia="仿宋" w:cs="仿宋"/>
        </w:rPr>
        <w:t>2</w:t>
      </w:r>
      <w:r>
        <w:rPr>
          <w:rFonts w:hint="eastAsia" w:ascii="仿宋" w:hAnsi="仿宋" w:eastAsia="仿宋" w:cs="仿宋"/>
        </w:rPr>
        <w:t>）电子信息产业链</w:t>
      </w:r>
    </w:p>
    <w:p>
      <w:pPr>
        <w:ind w:firstLine="560"/>
        <w:rPr>
          <w:rFonts w:ascii="仿宋" w:hAnsi="仿宋" w:eastAsia="仿宋" w:cs="Times New Roman"/>
          <w:sz w:val="28"/>
          <w:szCs w:val="28"/>
        </w:rPr>
      </w:pPr>
      <w:r>
        <w:rPr>
          <w:rFonts w:hint="eastAsia" w:ascii="仿宋" w:hAnsi="仿宋" w:eastAsia="仿宋" w:cs="仿宋"/>
          <w:sz w:val="28"/>
          <w:szCs w:val="28"/>
        </w:rPr>
        <w:t>根据中国半导体行业协会统计数据，</w:t>
      </w:r>
      <w:r>
        <w:rPr>
          <w:rFonts w:ascii="仿宋" w:hAnsi="仿宋" w:eastAsia="仿宋" w:cs="仿宋"/>
          <w:sz w:val="28"/>
          <w:szCs w:val="28"/>
        </w:rPr>
        <w:t>2010-2019</w:t>
      </w:r>
      <w:r>
        <w:rPr>
          <w:rFonts w:hint="eastAsia" w:ascii="仿宋" w:hAnsi="仿宋" w:eastAsia="仿宋" w:cs="仿宋"/>
          <w:sz w:val="28"/>
          <w:szCs w:val="28"/>
        </w:rPr>
        <w:t>年中国集成电路产业销售额整体呈增长趋势，从</w:t>
      </w:r>
      <w:r>
        <w:rPr>
          <w:rFonts w:ascii="仿宋" w:hAnsi="仿宋" w:eastAsia="仿宋" w:cs="仿宋"/>
          <w:sz w:val="28"/>
          <w:szCs w:val="28"/>
        </w:rPr>
        <w:t>2010</w:t>
      </w:r>
      <w:r>
        <w:rPr>
          <w:rFonts w:hint="eastAsia" w:ascii="仿宋" w:hAnsi="仿宋" w:eastAsia="仿宋" w:cs="仿宋"/>
          <w:sz w:val="28"/>
          <w:szCs w:val="28"/>
        </w:rPr>
        <w:t>年的</w:t>
      </w:r>
      <w:r>
        <w:rPr>
          <w:rFonts w:ascii="仿宋" w:hAnsi="仿宋" w:eastAsia="仿宋" w:cs="仿宋"/>
          <w:sz w:val="28"/>
          <w:szCs w:val="28"/>
        </w:rPr>
        <w:t>1440.15</w:t>
      </w:r>
      <w:r>
        <w:rPr>
          <w:rFonts w:hint="eastAsia" w:ascii="仿宋" w:hAnsi="仿宋" w:eastAsia="仿宋" w:cs="仿宋"/>
          <w:sz w:val="28"/>
          <w:szCs w:val="28"/>
        </w:rPr>
        <w:t>亿元增加至</w:t>
      </w:r>
      <w:r>
        <w:rPr>
          <w:rFonts w:ascii="仿宋" w:hAnsi="仿宋" w:eastAsia="仿宋" w:cs="仿宋"/>
          <w:sz w:val="28"/>
          <w:szCs w:val="28"/>
        </w:rPr>
        <w:t>2019</w:t>
      </w:r>
      <w:r>
        <w:rPr>
          <w:rFonts w:hint="eastAsia" w:ascii="仿宋" w:hAnsi="仿宋" w:eastAsia="仿宋" w:cs="仿宋"/>
          <w:sz w:val="28"/>
          <w:szCs w:val="28"/>
        </w:rPr>
        <w:t>年的</w:t>
      </w:r>
      <w:r>
        <w:rPr>
          <w:rFonts w:ascii="仿宋" w:hAnsi="仿宋" w:eastAsia="仿宋" w:cs="仿宋"/>
          <w:sz w:val="28"/>
          <w:szCs w:val="28"/>
        </w:rPr>
        <w:t>7562.3</w:t>
      </w:r>
      <w:r>
        <w:rPr>
          <w:rFonts w:hint="eastAsia" w:ascii="仿宋" w:hAnsi="仿宋" w:eastAsia="仿宋" w:cs="仿宋"/>
          <w:sz w:val="28"/>
          <w:szCs w:val="28"/>
        </w:rPr>
        <w:t>亿元。</w:t>
      </w:r>
      <w:r>
        <w:rPr>
          <w:rFonts w:ascii="仿宋" w:hAnsi="仿宋" w:eastAsia="仿宋" w:cs="仿宋"/>
          <w:sz w:val="28"/>
          <w:szCs w:val="28"/>
        </w:rPr>
        <w:t>2020</w:t>
      </w:r>
      <w:r>
        <w:rPr>
          <w:rFonts w:hint="eastAsia" w:ascii="仿宋" w:hAnsi="仿宋" w:eastAsia="仿宋" w:cs="仿宋"/>
          <w:sz w:val="28"/>
          <w:szCs w:val="28"/>
        </w:rPr>
        <w:t>年中国集成电路产业销售额为</w:t>
      </w:r>
      <w:r>
        <w:rPr>
          <w:rFonts w:ascii="仿宋" w:hAnsi="仿宋" w:eastAsia="仿宋" w:cs="仿宋"/>
          <w:sz w:val="28"/>
          <w:szCs w:val="28"/>
        </w:rPr>
        <w:t>8848</w:t>
      </w:r>
      <w:r>
        <w:rPr>
          <w:rFonts w:hint="eastAsia" w:ascii="仿宋" w:hAnsi="仿宋" w:eastAsia="仿宋" w:cs="仿宋"/>
          <w:sz w:val="28"/>
          <w:szCs w:val="28"/>
        </w:rPr>
        <w:t>亿元，同比增长</w:t>
      </w:r>
      <w:r>
        <w:rPr>
          <w:rFonts w:ascii="仿宋" w:hAnsi="仿宋" w:eastAsia="仿宋" w:cs="仿宋"/>
          <w:sz w:val="28"/>
          <w:szCs w:val="28"/>
        </w:rPr>
        <w:t>17%</w:t>
      </w:r>
      <w:r>
        <w:rPr>
          <w:rFonts w:hint="eastAsia" w:ascii="仿宋" w:hAnsi="仿宋" w:eastAsia="仿宋" w:cs="仿宋"/>
          <w:sz w:val="28"/>
          <w:szCs w:val="28"/>
        </w:rPr>
        <w:t>。其中，制造业销售额为</w:t>
      </w:r>
      <w:r>
        <w:rPr>
          <w:rFonts w:ascii="仿宋" w:hAnsi="仿宋" w:eastAsia="仿宋" w:cs="仿宋"/>
          <w:sz w:val="28"/>
          <w:szCs w:val="28"/>
        </w:rPr>
        <w:t>2560.1</w:t>
      </w:r>
      <w:r>
        <w:rPr>
          <w:rFonts w:hint="eastAsia" w:ascii="仿宋" w:hAnsi="仿宋" w:eastAsia="仿宋" w:cs="仿宋"/>
          <w:sz w:val="28"/>
          <w:szCs w:val="28"/>
        </w:rPr>
        <w:t>亿元，同比增长</w:t>
      </w:r>
      <w:r>
        <w:rPr>
          <w:rFonts w:ascii="仿宋" w:hAnsi="仿宋" w:eastAsia="仿宋" w:cs="仿宋"/>
          <w:sz w:val="28"/>
          <w:szCs w:val="28"/>
        </w:rPr>
        <w:t>19.1%</w:t>
      </w:r>
      <w:r>
        <w:rPr>
          <w:rFonts w:hint="eastAsia" w:ascii="仿宋" w:hAnsi="仿宋" w:eastAsia="仿宋" w:cs="仿宋"/>
          <w:sz w:val="28"/>
          <w:szCs w:val="28"/>
        </w:rPr>
        <w:t>；封装测试业销售额</w:t>
      </w:r>
      <w:r>
        <w:rPr>
          <w:rFonts w:ascii="仿宋" w:hAnsi="仿宋" w:eastAsia="仿宋" w:cs="仿宋"/>
          <w:sz w:val="28"/>
          <w:szCs w:val="28"/>
        </w:rPr>
        <w:t>2509.5</w:t>
      </w:r>
      <w:r>
        <w:rPr>
          <w:rFonts w:hint="eastAsia" w:ascii="仿宋" w:hAnsi="仿宋" w:eastAsia="仿宋" w:cs="仿宋"/>
          <w:sz w:val="28"/>
          <w:szCs w:val="28"/>
        </w:rPr>
        <w:t>亿元，同比增长</w:t>
      </w:r>
      <w:r>
        <w:rPr>
          <w:rFonts w:ascii="仿宋" w:hAnsi="仿宋" w:eastAsia="仿宋" w:cs="仿宋"/>
          <w:sz w:val="28"/>
          <w:szCs w:val="28"/>
        </w:rPr>
        <w:t>6.8%</w:t>
      </w:r>
      <w:r>
        <w:rPr>
          <w:rFonts w:hint="eastAsia" w:ascii="仿宋" w:hAnsi="仿宋" w:eastAsia="仿宋" w:cs="仿宋"/>
          <w:sz w:val="28"/>
          <w:szCs w:val="28"/>
        </w:rPr>
        <w:t>。</w:t>
      </w:r>
    </w:p>
    <w:p>
      <w:pPr>
        <w:ind w:firstLine="560"/>
        <w:rPr>
          <w:rFonts w:ascii="仿宋" w:hAnsi="仿宋" w:eastAsia="仿宋" w:cs="仿宋"/>
          <w:sz w:val="28"/>
          <w:szCs w:val="28"/>
        </w:rPr>
      </w:pPr>
      <w:r>
        <w:rPr>
          <w:rFonts w:hint="eastAsia" w:ascii="仿宋" w:hAnsi="仿宋" w:eastAsia="仿宋" w:cs="仿宋"/>
          <w:sz w:val="28"/>
          <w:szCs w:val="28"/>
        </w:rPr>
        <w:t>根据海关统计，</w:t>
      </w:r>
      <w:r>
        <w:rPr>
          <w:rFonts w:ascii="仿宋" w:hAnsi="仿宋" w:eastAsia="仿宋" w:cs="仿宋"/>
          <w:sz w:val="28"/>
          <w:szCs w:val="28"/>
        </w:rPr>
        <w:t>2020</w:t>
      </w:r>
      <w:r>
        <w:rPr>
          <w:rFonts w:hint="eastAsia" w:ascii="仿宋" w:hAnsi="仿宋" w:eastAsia="仿宋" w:cs="仿宋"/>
          <w:sz w:val="28"/>
          <w:szCs w:val="28"/>
        </w:rPr>
        <w:t>年中国进口集成电路</w:t>
      </w:r>
      <w:r>
        <w:rPr>
          <w:rFonts w:ascii="仿宋" w:hAnsi="仿宋" w:eastAsia="仿宋" w:cs="仿宋"/>
          <w:sz w:val="28"/>
          <w:szCs w:val="28"/>
        </w:rPr>
        <w:t>5435</w:t>
      </w:r>
      <w:r>
        <w:rPr>
          <w:rFonts w:hint="eastAsia" w:ascii="仿宋" w:hAnsi="仿宋" w:eastAsia="仿宋" w:cs="仿宋"/>
          <w:sz w:val="28"/>
          <w:szCs w:val="28"/>
        </w:rPr>
        <w:t>亿块，同比增长</w:t>
      </w:r>
      <w:r>
        <w:rPr>
          <w:rFonts w:ascii="仿宋" w:hAnsi="仿宋" w:eastAsia="仿宋" w:cs="仿宋"/>
          <w:sz w:val="28"/>
          <w:szCs w:val="28"/>
        </w:rPr>
        <w:t>22.1%</w:t>
      </w:r>
      <w:r>
        <w:rPr>
          <w:rFonts w:hint="eastAsia" w:ascii="仿宋" w:hAnsi="仿宋" w:eastAsia="仿宋" w:cs="仿宋"/>
          <w:sz w:val="28"/>
          <w:szCs w:val="28"/>
        </w:rPr>
        <w:t>；进口金额</w:t>
      </w:r>
      <w:r>
        <w:rPr>
          <w:rFonts w:ascii="仿宋" w:hAnsi="仿宋" w:eastAsia="仿宋" w:cs="仿宋"/>
          <w:sz w:val="28"/>
          <w:szCs w:val="28"/>
        </w:rPr>
        <w:t>3500.4</w:t>
      </w:r>
      <w:r>
        <w:rPr>
          <w:rFonts w:hint="eastAsia" w:ascii="仿宋" w:hAnsi="仿宋" w:eastAsia="仿宋" w:cs="仿宋"/>
          <w:sz w:val="28"/>
          <w:szCs w:val="28"/>
        </w:rPr>
        <w:t>亿美元，同比增长</w:t>
      </w:r>
      <w:r>
        <w:rPr>
          <w:rFonts w:ascii="仿宋" w:hAnsi="仿宋" w:eastAsia="仿宋" w:cs="仿宋"/>
          <w:sz w:val="28"/>
          <w:szCs w:val="28"/>
        </w:rPr>
        <w:t>14.6%</w:t>
      </w:r>
      <w:r>
        <w:rPr>
          <w:rFonts w:hint="eastAsia" w:ascii="仿宋" w:hAnsi="仿宋" w:eastAsia="仿宋" w:cs="仿宋"/>
          <w:sz w:val="28"/>
          <w:szCs w:val="28"/>
        </w:rPr>
        <w:t>。</w:t>
      </w:r>
      <w:r>
        <w:rPr>
          <w:rFonts w:ascii="仿宋" w:hAnsi="仿宋" w:eastAsia="仿宋" w:cs="仿宋"/>
          <w:sz w:val="28"/>
          <w:szCs w:val="28"/>
        </w:rPr>
        <w:t>2020</w:t>
      </w:r>
      <w:r>
        <w:rPr>
          <w:rFonts w:hint="eastAsia" w:ascii="仿宋" w:hAnsi="仿宋" w:eastAsia="仿宋" w:cs="仿宋"/>
          <w:sz w:val="28"/>
          <w:szCs w:val="28"/>
        </w:rPr>
        <w:t>年中国集成电路出口</w:t>
      </w:r>
      <w:r>
        <w:rPr>
          <w:rFonts w:ascii="仿宋" w:hAnsi="仿宋" w:eastAsia="仿宋" w:cs="仿宋"/>
          <w:sz w:val="28"/>
          <w:szCs w:val="28"/>
        </w:rPr>
        <w:t>2598</w:t>
      </w:r>
      <w:r>
        <w:rPr>
          <w:rFonts w:hint="eastAsia" w:ascii="仿宋" w:hAnsi="仿宋" w:eastAsia="仿宋" w:cs="仿宋"/>
          <w:sz w:val="28"/>
          <w:szCs w:val="28"/>
        </w:rPr>
        <w:t>亿块，同比增长</w:t>
      </w:r>
      <w:r>
        <w:rPr>
          <w:rFonts w:ascii="仿宋" w:hAnsi="仿宋" w:eastAsia="仿宋" w:cs="仿宋"/>
          <w:sz w:val="28"/>
          <w:szCs w:val="28"/>
        </w:rPr>
        <w:t>18.8%</w:t>
      </w:r>
      <w:r>
        <w:rPr>
          <w:rFonts w:hint="eastAsia" w:ascii="仿宋" w:hAnsi="仿宋" w:eastAsia="仿宋" w:cs="仿宋"/>
          <w:sz w:val="28"/>
          <w:szCs w:val="28"/>
        </w:rPr>
        <w:t>，出口金额</w:t>
      </w:r>
      <w:r>
        <w:rPr>
          <w:rFonts w:ascii="仿宋" w:hAnsi="仿宋" w:eastAsia="仿宋" w:cs="仿宋"/>
          <w:sz w:val="28"/>
          <w:szCs w:val="28"/>
        </w:rPr>
        <w:t>1166</w:t>
      </w:r>
      <w:r>
        <w:rPr>
          <w:rFonts w:hint="eastAsia" w:ascii="仿宋" w:hAnsi="仿宋" w:eastAsia="仿宋" w:cs="仿宋"/>
          <w:sz w:val="28"/>
          <w:szCs w:val="28"/>
        </w:rPr>
        <w:t>亿美元，同比增长</w:t>
      </w:r>
      <w:r>
        <w:rPr>
          <w:rFonts w:ascii="仿宋" w:hAnsi="仿宋" w:eastAsia="仿宋" w:cs="仿宋"/>
          <w:sz w:val="28"/>
          <w:szCs w:val="28"/>
        </w:rPr>
        <w:t>14.8%</w:t>
      </w:r>
      <w:r>
        <w:rPr>
          <w:rFonts w:hint="eastAsia" w:ascii="仿宋" w:hAnsi="仿宋" w:eastAsia="仿宋" w:cs="仿宋"/>
          <w:sz w:val="28"/>
          <w:szCs w:val="28"/>
        </w:rPr>
        <w:t>。</w:t>
      </w:r>
      <w:r>
        <w:rPr>
          <w:rFonts w:ascii="仿宋" w:hAnsi="仿宋" w:eastAsia="仿宋" w:cs="仿宋"/>
          <w:sz w:val="28"/>
          <w:szCs w:val="28"/>
        </w:rPr>
        <w:t xml:space="preserve"> </w:t>
      </w:r>
    </w:p>
    <w:p>
      <w:pPr>
        <w:ind w:firstLine="560"/>
        <w:rPr>
          <w:rFonts w:ascii="仿宋" w:hAnsi="仿宋" w:eastAsia="仿宋" w:cs="Times New Roman"/>
          <w:sz w:val="28"/>
          <w:szCs w:val="28"/>
        </w:rPr>
      </w:pPr>
      <w:r>
        <w:rPr>
          <w:rFonts w:hint="eastAsia" w:ascii="仿宋" w:hAnsi="仿宋" w:eastAsia="仿宋" w:cs="仿宋"/>
          <w:sz w:val="28"/>
          <w:szCs w:val="28"/>
        </w:rPr>
        <w:t>根据安泰科的研究，</w:t>
      </w:r>
      <w:r>
        <w:rPr>
          <w:rFonts w:ascii="仿宋" w:hAnsi="仿宋" w:eastAsia="仿宋" w:cs="仿宋"/>
          <w:sz w:val="28"/>
          <w:szCs w:val="28"/>
        </w:rPr>
        <w:t>2020</w:t>
      </w:r>
      <w:r>
        <w:rPr>
          <w:rFonts w:hint="eastAsia" w:ascii="仿宋" w:hAnsi="仿宋" w:eastAsia="仿宋" w:cs="仿宋"/>
          <w:sz w:val="28"/>
          <w:szCs w:val="28"/>
        </w:rPr>
        <w:t>年我国电子行业铜材消费量为</w:t>
      </w:r>
      <w:r>
        <w:rPr>
          <w:rFonts w:ascii="仿宋" w:hAnsi="仿宋" w:eastAsia="仿宋" w:cs="仿宋"/>
          <w:sz w:val="28"/>
          <w:szCs w:val="28"/>
        </w:rPr>
        <w:t>158</w:t>
      </w:r>
      <w:r>
        <w:rPr>
          <w:rFonts w:hint="eastAsia" w:ascii="仿宋" w:hAnsi="仿宋" w:eastAsia="仿宋" w:cs="仿宋"/>
          <w:sz w:val="28"/>
          <w:szCs w:val="28"/>
        </w:rPr>
        <w:t>万吨，年均增长为</w:t>
      </w:r>
      <w:r>
        <w:rPr>
          <w:rFonts w:ascii="仿宋" w:hAnsi="仿宋" w:eastAsia="仿宋" w:cs="仿宋"/>
          <w:sz w:val="28"/>
          <w:szCs w:val="28"/>
        </w:rPr>
        <w:t>11.5%</w:t>
      </w:r>
      <w:r>
        <w:rPr>
          <w:rFonts w:hint="eastAsia" w:ascii="仿宋" w:hAnsi="仿宋" w:eastAsia="仿宋" w:cs="仿宋"/>
          <w:sz w:val="28"/>
          <w:szCs w:val="28"/>
        </w:rPr>
        <w:t>，其中，电子引线框架铜带消费量达到</w:t>
      </w:r>
      <w:r>
        <w:rPr>
          <w:rFonts w:ascii="仿宋" w:hAnsi="仿宋" w:eastAsia="仿宋" w:cs="仿宋"/>
          <w:sz w:val="28"/>
          <w:szCs w:val="28"/>
        </w:rPr>
        <w:t>22</w:t>
      </w:r>
      <w:r>
        <w:rPr>
          <w:rFonts w:hint="eastAsia" w:ascii="仿宋" w:hAnsi="仿宋" w:eastAsia="仿宋" w:cs="仿宋"/>
          <w:sz w:val="28"/>
          <w:szCs w:val="28"/>
        </w:rPr>
        <w:t>万吨，年均增幅达到</w:t>
      </w:r>
      <w:r>
        <w:rPr>
          <w:rFonts w:ascii="仿宋" w:hAnsi="仿宋" w:eastAsia="仿宋" w:cs="仿宋"/>
          <w:sz w:val="28"/>
          <w:szCs w:val="28"/>
        </w:rPr>
        <w:t>18.92%</w:t>
      </w:r>
      <w:r>
        <w:rPr>
          <w:rFonts w:hint="eastAsia" w:ascii="仿宋" w:hAnsi="仿宋" w:eastAsia="仿宋" w:cs="仿宋"/>
          <w:sz w:val="28"/>
          <w:szCs w:val="28"/>
        </w:rPr>
        <w:t>，电子连接器铜带消费量达到</w:t>
      </w:r>
      <w:r>
        <w:rPr>
          <w:rFonts w:ascii="仿宋" w:hAnsi="仿宋" w:eastAsia="仿宋" w:cs="仿宋"/>
          <w:sz w:val="28"/>
          <w:szCs w:val="28"/>
        </w:rPr>
        <w:t>19</w:t>
      </w:r>
      <w:r>
        <w:rPr>
          <w:rFonts w:hint="eastAsia" w:ascii="仿宋" w:hAnsi="仿宋" w:eastAsia="仿宋" w:cs="仿宋"/>
          <w:sz w:val="28"/>
          <w:szCs w:val="28"/>
        </w:rPr>
        <w:t>万吨，年均增幅达到</w:t>
      </w:r>
      <w:r>
        <w:rPr>
          <w:rFonts w:ascii="仿宋" w:hAnsi="仿宋" w:eastAsia="仿宋" w:cs="仿宋"/>
          <w:sz w:val="28"/>
          <w:szCs w:val="28"/>
        </w:rPr>
        <w:t>17.41%</w:t>
      </w:r>
      <w:r>
        <w:rPr>
          <w:rFonts w:hint="eastAsia" w:ascii="仿宋" w:hAnsi="仿宋" w:eastAsia="仿宋" w:cs="仿宋"/>
          <w:sz w:val="28"/>
          <w:szCs w:val="28"/>
        </w:rPr>
        <w:t>。预计到</w:t>
      </w:r>
      <w:r>
        <w:rPr>
          <w:rFonts w:ascii="仿宋" w:hAnsi="仿宋" w:eastAsia="仿宋" w:cs="仿宋"/>
          <w:sz w:val="28"/>
          <w:szCs w:val="28"/>
        </w:rPr>
        <w:t>2025</w:t>
      </w:r>
      <w:r>
        <w:rPr>
          <w:rFonts w:hint="eastAsia" w:ascii="仿宋" w:hAnsi="仿宋" w:eastAsia="仿宋" w:cs="仿宋"/>
          <w:sz w:val="28"/>
          <w:szCs w:val="28"/>
        </w:rPr>
        <w:t>年，我国电子行业铜材消费量将达到</w:t>
      </w:r>
      <w:r>
        <w:rPr>
          <w:rFonts w:ascii="仿宋" w:hAnsi="仿宋" w:eastAsia="仿宋" w:cs="仿宋"/>
          <w:sz w:val="28"/>
          <w:szCs w:val="28"/>
        </w:rPr>
        <w:t>254.1</w:t>
      </w:r>
      <w:r>
        <w:rPr>
          <w:rFonts w:hint="eastAsia" w:ascii="仿宋" w:hAnsi="仿宋" w:eastAsia="仿宋" w:cs="仿宋"/>
          <w:sz w:val="28"/>
          <w:szCs w:val="28"/>
        </w:rPr>
        <w:t>万吨，年均增幅达到</w:t>
      </w:r>
      <w:r>
        <w:rPr>
          <w:rFonts w:ascii="仿宋" w:hAnsi="仿宋" w:eastAsia="仿宋" w:cs="仿宋"/>
          <w:sz w:val="28"/>
          <w:szCs w:val="28"/>
        </w:rPr>
        <w:t>18.21%</w:t>
      </w:r>
      <w:r>
        <w:rPr>
          <w:rFonts w:hint="eastAsia" w:ascii="仿宋" w:hAnsi="仿宋" w:eastAsia="仿宋" w:cs="仿宋"/>
          <w:sz w:val="28"/>
          <w:szCs w:val="28"/>
        </w:rPr>
        <w:t>，其中，电子引线框架铜带消费量达到</w:t>
      </w:r>
      <w:r>
        <w:rPr>
          <w:rFonts w:ascii="仿宋" w:hAnsi="仿宋" w:eastAsia="仿宋" w:cs="仿宋"/>
          <w:sz w:val="28"/>
          <w:szCs w:val="28"/>
        </w:rPr>
        <w:t>32</w:t>
      </w:r>
      <w:r>
        <w:rPr>
          <w:rFonts w:hint="eastAsia" w:ascii="仿宋" w:hAnsi="仿宋" w:eastAsia="仿宋" w:cs="仿宋"/>
          <w:sz w:val="28"/>
          <w:szCs w:val="28"/>
        </w:rPr>
        <w:t>万吨，增幅达到</w:t>
      </w:r>
      <w:r>
        <w:rPr>
          <w:rFonts w:ascii="仿宋" w:hAnsi="仿宋" w:eastAsia="仿宋" w:cs="仿宋"/>
          <w:sz w:val="28"/>
          <w:szCs w:val="28"/>
        </w:rPr>
        <w:t>16.29%</w:t>
      </w:r>
      <w:r>
        <w:rPr>
          <w:rFonts w:hint="eastAsia" w:ascii="仿宋" w:hAnsi="仿宋" w:eastAsia="仿宋" w:cs="仿宋"/>
          <w:sz w:val="28"/>
          <w:szCs w:val="28"/>
        </w:rPr>
        <w:t>，电子连接器铜带消费量达到</w:t>
      </w:r>
      <w:r>
        <w:rPr>
          <w:rFonts w:ascii="仿宋" w:hAnsi="仿宋" w:eastAsia="仿宋" w:cs="仿宋"/>
          <w:sz w:val="28"/>
          <w:szCs w:val="28"/>
        </w:rPr>
        <w:t>38</w:t>
      </w:r>
      <w:r>
        <w:rPr>
          <w:rFonts w:hint="eastAsia" w:ascii="仿宋" w:hAnsi="仿宋" w:eastAsia="仿宋" w:cs="仿宋"/>
          <w:sz w:val="28"/>
          <w:szCs w:val="28"/>
        </w:rPr>
        <w:t>万吨，年均增幅达到</w:t>
      </w:r>
      <w:r>
        <w:rPr>
          <w:rFonts w:ascii="仿宋" w:hAnsi="仿宋" w:eastAsia="仿宋" w:cs="仿宋"/>
          <w:sz w:val="28"/>
          <w:szCs w:val="28"/>
        </w:rPr>
        <w:t>11.3%</w:t>
      </w:r>
      <w:r>
        <w:rPr>
          <w:rFonts w:hint="eastAsia" w:ascii="仿宋" w:hAnsi="仿宋" w:eastAsia="仿宋" w:cs="仿宋"/>
          <w:sz w:val="28"/>
          <w:szCs w:val="28"/>
        </w:rPr>
        <w:t>。</w:t>
      </w:r>
    </w:p>
    <w:p>
      <w:pPr>
        <w:ind w:firstLine="560"/>
        <w:rPr>
          <w:rFonts w:ascii="仿宋" w:hAnsi="仿宋" w:eastAsia="仿宋" w:cs="Times New Roman"/>
          <w:color w:val="FF0000"/>
          <w:sz w:val="28"/>
          <w:szCs w:val="28"/>
        </w:rPr>
      </w:pPr>
      <w:r>
        <w:rPr>
          <w:rFonts w:ascii="Calibri" w:hAnsi="Calibri" w:eastAsia="宋体" w:cs="Calibri"/>
          <w:kern w:val="2"/>
          <w:sz w:val="21"/>
          <w:szCs w:val="21"/>
          <w:lang w:val="en-US" w:eastAsia="zh-CN" w:bidi="ar-SA"/>
        </w:rPr>
        <w:pict>
          <v:shape id="图表 3" o:spid="_x0000_s1031" type="#_x0000_t75" style="position:absolute;left:0;margin-left:18.3pt;margin-top:7.55pt;height:204.5pt;width:404.65pt;rotation:0f;z-index:251664384;" o:ole="f" fillcolor="#FFFFFF" filled="f" o:preferrelative="t" stroked="f" coordorigin="0,0" coordsize="21600,21600">
            <v:fill on="f" color2="#FFFFFF" focus="0%"/>
            <v:imagedata gain="65536f" blacklevel="0f" gamma="0" o:title="" r:id="rId11"/>
            <o:lock v:ext="edit" position="f" selection="f" grouping="f" rotation="f" cropping="f" text="f" aspectratio="f"/>
          </v:shape>
        </w:pict>
      </w:r>
    </w:p>
    <w:p>
      <w:pPr>
        <w:ind w:firstLine="560"/>
        <w:rPr>
          <w:rFonts w:ascii="仿宋" w:hAnsi="仿宋" w:eastAsia="仿宋" w:cs="Times New Roman"/>
          <w:color w:val="FF0000"/>
          <w:sz w:val="28"/>
          <w:szCs w:val="28"/>
        </w:rPr>
      </w:pPr>
    </w:p>
    <w:p>
      <w:pPr>
        <w:ind w:firstLine="560"/>
        <w:rPr>
          <w:rFonts w:ascii="仿宋" w:hAnsi="仿宋" w:eastAsia="仿宋" w:cs="Times New Roman"/>
          <w:color w:val="FF0000"/>
          <w:sz w:val="28"/>
          <w:szCs w:val="28"/>
        </w:rPr>
      </w:pPr>
    </w:p>
    <w:p>
      <w:pPr>
        <w:ind w:firstLine="560"/>
        <w:rPr>
          <w:rFonts w:ascii="仿宋" w:hAnsi="仿宋" w:eastAsia="仿宋" w:cs="Times New Roman"/>
          <w:color w:val="FF0000"/>
          <w:sz w:val="28"/>
          <w:szCs w:val="28"/>
        </w:rPr>
      </w:pPr>
    </w:p>
    <w:p>
      <w:pPr>
        <w:ind w:firstLine="560"/>
        <w:rPr>
          <w:rFonts w:ascii="仿宋" w:hAnsi="仿宋" w:eastAsia="仿宋" w:cs="Times New Roman"/>
          <w:color w:val="FF0000"/>
          <w:sz w:val="28"/>
          <w:szCs w:val="28"/>
        </w:rPr>
      </w:pPr>
    </w:p>
    <w:p>
      <w:pPr>
        <w:rPr>
          <w:rFonts w:ascii="仿宋" w:hAnsi="仿宋" w:eastAsia="仿宋" w:cs="Times New Roman"/>
          <w:sz w:val="28"/>
          <w:szCs w:val="28"/>
        </w:rPr>
      </w:pPr>
    </w:p>
    <w:p>
      <w:pPr>
        <w:rPr>
          <w:rFonts w:ascii="仿宋" w:hAnsi="仿宋" w:eastAsia="仿宋" w:cs="Times New Roman"/>
          <w:sz w:val="28"/>
          <w:szCs w:val="28"/>
        </w:rPr>
      </w:pPr>
    </w:p>
    <w:p>
      <w:pPr>
        <w:spacing w:line="360" w:lineRule="auto"/>
        <w:jc w:val="center"/>
        <w:rPr>
          <w:rFonts w:ascii="黑体" w:hAnsi="黑体" w:eastAsia="黑体" w:cs="Times New Roman"/>
          <w:b/>
          <w:bCs/>
        </w:rPr>
      </w:pPr>
      <w:r>
        <w:rPr>
          <w:rStyle w:val="16"/>
          <w:rFonts w:hint="eastAsia" w:ascii="黑体" w:hAnsi="黑体" w:eastAsia="黑体" w:cs="黑体"/>
          <w:b w:val="0"/>
          <w:bCs w:val="0"/>
        </w:rPr>
        <w:t>图</w:t>
      </w:r>
      <w:r>
        <w:rPr>
          <w:rStyle w:val="16"/>
          <w:rFonts w:ascii="黑体" w:hAnsi="黑体" w:eastAsia="黑体" w:cs="黑体"/>
          <w:b w:val="0"/>
          <w:bCs w:val="0"/>
        </w:rPr>
        <w:t>5-4  2017-2025</w:t>
      </w:r>
      <w:r>
        <w:rPr>
          <w:rStyle w:val="16"/>
          <w:rFonts w:hint="eastAsia" w:ascii="黑体" w:hAnsi="黑体" w:eastAsia="黑体" w:cs="黑体"/>
          <w:b w:val="0"/>
          <w:bCs w:val="0"/>
        </w:rPr>
        <w:t>年中国电子信息行业铜材消费量及预测</w:t>
      </w:r>
      <w:r>
        <w:rPr>
          <w:rStyle w:val="16"/>
          <w:rFonts w:ascii="黑体" w:hAnsi="黑体" w:eastAsia="黑体" w:cs="黑体"/>
          <w:b w:val="0"/>
          <w:bCs w:val="0"/>
        </w:rPr>
        <w:t xml:space="preserve">     </w:t>
      </w:r>
      <w:r>
        <w:rPr>
          <w:rStyle w:val="16"/>
          <w:rFonts w:hint="eastAsia" w:ascii="黑体" w:hAnsi="黑体" w:eastAsia="黑体" w:cs="黑体"/>
          <w:b w:val="0"/>
          <w:bCs w:val="0"/>
        </w:rPr>
        <w:t>单位：万吨</w:t>
      </w:r>
    </w:p>
    <w:p>
      <w:pPr>
        <w:pStyle w:val="5"/>
        <w:spacing w:before="240" w:after="120" w:line="377" w:lineRule="auto"/>
        <w:rPr>
          <w:rFonts w:ascii="仿宋" w:hAnsi="仿宋" w:eastAsia="仿宋" w:cs="Times New Roman"/>
        </w:rPr>
      </w:pPr>
      <w:r>
        <w:rPr>
          <w:rFonts w:hint="eastAsia" w:ascii="仿宋" w:hAnsi="仿宋" w:eastAsia="仿宋" w:cs="仿宋"/>
        </w:rPr>
        <w:t>（</w:t>
      </w:r>
      <w:r>
        <w:rPr>
          <w:rFonts w:ascii="仿宋" w:hAnsi="仿宋" w:eastAsia="仿宋" w:cs="仿宋"/>
        </w:rPr>
        <w:t>3</w:t>
      </w:r>
      <w:r>
        <w:rPr>
          <w:rFonts w:hint="eastAsia" w:ascii="仿宋" w:hAnsi="仿宋" w:eastAsia="仿宋" w:cs="仿宋"/>
        </w:rPr>
        <w:t>）新能源智能交通产业链</w:t>
      </w:r>
    </w:p>
    <w:p>
      <w:pPr>
        <w:ind w:firstLine="560"/>
        <w:rPr>
          <w:rFonts w:ascii="仿宋" w:hAnsi="仿宋" w:eastAsia="仿宋" w:cs="Times New Roman"/>
          <w:sz w:val="28"/>
          <w:szCs w:val="28"/>
        </w:rPr>
      </w:pPr>
      <w:r>
        <w:rPr>
          <w:rFonts w:hint="eastAsia" w:ascii="仿宋" w:hAnsi="仿宋" w:eastAsia="仿宋" w:cs="仿宋"/>
          <w:sz w:val="28"/>
          <w:szCs w:val="28"/>
        </w:rPr>
        <w:t>交通运输业的包含汽车、船舶、铁路、飞机等诸多运输方式，各类交通工具中大量的使用铜材作为导电、导热、油路管道、线缆通信等材料使用。其中，汽车是铜材消费的主要领域，根据中汽协公布的数据显示，</w:t>
      </w:r>
      <w:r>
        <w:rPr>
          <w:rFonts w:ascii="仿宋" w:hAnsi="仿宋" w:eastAsia="仿宋" w:cs="仿宋"/>
          <w:sz w:val="28"/>
          <w:szCs w:val="28"/>
        </w:rPr>
        <w:t>2020</w:t>
      </w:r>
      <w:r>
        <w:rPr>
          <w:rFonts w:hint="eastAsia" w:ascii="仿宋" w:hAnsi="仿宋" w:eastAsia="仿宋" w:cs="仿宋"/>
          <w:sz w:val="28"/>
          <w:szCs w:val="28"/>
        </w:rPr>
        <w:t>年，我国汽车产销量分别达</w:t>
      </w:r>
      <w:r>
        <w:rPr>
          <w:rFonts w:ascii="仿宋" w:hAnsi="仿宋" w:eastAsia="仿宋" w:cs="仿宋"/>
          <w:sz w:val="28"/>
          <w:szCs w:val="28"/>
        </w:rPr>
        <w:t>2522.5</w:t>
      </w:r>
      <w:r>
        <w:rPr>
          <w:rFonts w:hint="eastAsia" w:ascii="仿宋" w:hAnsi="仿宋" w:eastAsia="仿宋" w:cs="仿宋"/>
          <w:sz w:val="28"/>
          <w:szCs w:val="28"/>
        </w:rPr>
        <w:t>万辆和</w:t>
      </w:r>
      <w:r>
        <w:rPr>
          <w:rFonts w:ascii="仿宋" w:hAnsi="仿宋" w:eastAsia="仿宋" w:cs="仿宋"/>
          <w:sz w:val="28"/>
          <w:szCs w:val="28"/>
        </w:rPr>
        <w:t>2531.1</w:t>
      </w:r>
      <w:r>
        <w:rPr>
          <w:rFonts w:hint="eastAsia" w:ascii="仿宋" w:hAnsi="仿宋" w:eastAsia="仿宋" w:cs="仿宋"/>
          <w:sz w:val="28"/>
          <w:szCs w:val="28"/>
        </w:rPr>
        <w:t>万辆，同比下降</w:t>
      </w:r>
      <w:r>
        <w:rPr>
          <w:rFonts w:ascii="仿宋" w:hAnsi="仿宋" w:eastAsia="仿宋" w:cs="仿宋"/>
          <w:sz w:val="28"/>
          <w:szCs w:val="28"/>
        </w:rPr>
        <w:t>2%</w:t>
      </w:r>
      <w:r>
        <w:rPr>
          <w:rFonts w:hint="eastAsia" w:ascii="仿宋" w:hAnsi="仿宋" w:eastAsia="仿宋" w:cs="仿宋"/>
          <w:sz w:val="28"/>
          <w:szCs w:val="28"/>
        </w:rPr>
        <w:t>和</w:t>
      </w:r>
      <w:r>
        <w:rPr>
          <w:rFonts w:ascii="仿宋" w:hAnsi="仿宋" w:eastAsia="仿宋" w:cs="仿宋"/>
          <w:sz w:val="28"/>
          <w:szCs w:val="28"/>
        </w:rPr>
        <w:t>1.9%</w:t>
      </w:r>
      <w:r>
        <w:rPr>
          <w:rFonts w:hint="eastAsia" w:ascii="仿宋" w:hAnsi="仿宋" w:eastAsia="仿宋" w:cs="仿宋"/>
          <w:sz w:val="28"/>
          <w:szCs w:val="28"/>
        </w:rPr>
        <w:t>，与上年相比，分别收窄</w:t>
      </w:r>
      <w:r>
        <w:rPr>
          <w:rFonts w:ascii="仿宋" w:hAnsi="仿宋" w:eastAsia="仿宋" w:cs="仿宋"/>
          <w:sz w:val="28"/>
          <w:szCs w:val="28"/>
        </w:rPr>
        <w:t>5.5</w:t>
      </w:r>
      <w:r>
        <w:rPr>
          <w:rFonts w:hint="eastAsia" w:ascii="仿宋" w:hAnsi="仿宋" w:eastAsia="仿宋" w:cs="仿宋"/>
          <w:sz w:val="28"/>
          <w:szCs w:val="28"/>
        </w:rPr>
        <w:t>个百分点和</w:t>
      </w:r>
      <w:r>
        <w:rPr>
          <w:rFonts w:ascii="仿宋" w:hAnsi="仿宋" w:eastAsia="仿宋" w:cs="仿宋"/>
          <w:sz w:val="28"/>
          <w:szCs w:val="28"/>
        </w:rPr>
        <w:t>6.3</w:t>
      </w:r>
      <w:r>
        <w:rPr>
          <w:rFonts w:hint="eastAsia" w:ascii="仿宋" w:hAnsi="仿宋" w:eastAsia="仿宋" w:cs="仿宋"/>
          <w:sz w:val="28"/>
          <w:szCs w:val="28"/>
        </w:rPr>
        <w:t>个百分点。其中，我国新能源汽车产销量分别达</w:t>
      </w:r>
      <w:r>
        <w:rPr>
          <w:rFonts w:ascii="仿宋" w:hAnsi="仿宋" w:eastAsia="仿宋" w:cs="仿宋"/>
          <w:sz w:val="28"/>
          <w:szCs w:val="28"/>
        </w:rPr>
        <w:t>136.6</w:t>
      </w:r>
      <w:r>
        <w:rPr>
          <w:rFonts w:hint="eastAsia" w:ascii="仿宋" w:hAnsi="仿宋" w:eastAsia="仿宋" w:cs="仿宋"/>
          <w:sz w:val="28"/>
          <w:szCs w:val="28"/>
        </w:rPr>
        <w:t>万辆和</w:t>
      </w:r>
      <w:r>
        <w:rPr>
          <w:rFonts w:ascii="仿宋" w:hAnsi="仿宋" w:eastAsia="仿宋" w:cs="仿宋"/>
          <w:sz w:val="28"/>
          <w:szCs w:val="28"/>
        </w:rPr>
        <w:t>136.7</w:t>
      </w:r>
      <w:r>
        <w:rPr>
          <w:rFonts w:hint="eastAsia" w:ascii="仿宋" w:hAnsi="仿宋" w:eastAsia="仿宋" w:cs="仿宋"/>
          <w:sz w:val="28"/>
          <w:szCs w:val="28"/>
        </w:rPr>
        <w:t>万辆，同比分别增长</w:t>
      </w:r>
      <w:r>
        <w:rPr>
          <w:rFonts w:ascii="仿宋" w:hAnsi="仿宋" w:eastAsia="仿宋" w:cs="仿宋"/>
          <w:sz w:val="28"/>
          <w:szCs w:val="28"/>
        </w:rPr>
        <w:t>7.5%</w:t>
      </w:r>
      <w:r>
        <w:rPr>
          <w:rFonts w:hint="eastAsia" w:ascii="仿宋" w:hAnsi="仿宋" w:eastAsia="仿宋" w:cs="仿宋"/>
          <w:sz w:val="28"/>
          <w:szCs w:val="28"/>
        </w:rPr>
        <w:t>和</w:t>
      </w:r>
      <w:r>
        <w:rPr>
          <w:rFonts w:ascii="仿宋" w:hAnsi="仿宋" w:eastAsia="仿宋" w:cs="仿宋"/>
          <w:sz w:val="28"/>
          <w:szCs w:val="28"/>
        </w:rPr>
        <w:t>10.9%</w:t>
      </w:r>
      <w:r>
        <w:rPr>
          <w:rFonts w:hint="eastAsia" w:ascii="仿宋" w:hAnsi="仿宋" w:eastAsia="仿宋" w:cs="仿宋"/>
          <w:sz w:val="28"/>
          <w:szCs w:val="28"/>
        </w:rPr>
        <w:t>，同期我国汽车铜消费总量为</w:t>
      </w:r>
      <w:r>
        <w:rPr>
          <w:rFonts w:ascii="仿宋" w:hAnsi="仿宋" w:eastAsia="仿宋" w:cs="仿宋"/>
          <w:sz w:val="28"/>
          <w:szCs w:val="28"/>
        </w:rPr>
        <w:t>55.98</w:t>
      </w:r>
      <w:r>
        <w:rPr>
          <w:rFonts w:hint="eastAsia" w:ascii="仿宋" w:hAnsi="仿宋" w:eastAsia="仿宋" w:cs="仿宋"/>
          <w:sz w:val="28"/>
          <w:szCs w:val="28"/>
        </w:rPr>
        <w:t>万吨，其中，新能源汽车消费量为</w:t>
      </w:r>
      <w:r>
        <w:rPr>
          <w:rFonts w:ascii="仿宋" w:hAnsi="仿宋" w:eastAsia="仿宋" w:cs="仿宋"/>
          <w:sz w:val="28"/>
          <w:szCs w:val="28"/>
        </w:rPr>
        <w:t>17.68</w:t>
      </w:r>
      <w:r>
        <w:rPr>
          <w:rFonts w:hint="eastAsia" w:ascii="仿宋" w:hAnsi="仿宋" w:eastAsia="仿宋" w:cs="仿宋"/>
          <w:sz w:val="28"/>
          <w:szCs w:val="28"/>
        </w:rPr>
        <w:t>万吨。预计到</w:t>
      </w:r>
      <w:r>
        <w:rPr>
          <w:rFonts w:ascii="仿宋" w:hAnsi="仿宋" w:eastAsia="仿宋" w:cs="仿宋"/>
          <w:sz w:val="28"/>
          <w:szCs w:val="28"/>
        </w:rPr>
        <w:t>2025</w:t>
      </w:r>
      <w:r>
        <w:rPr>
          <w:rFonts w:hint="eastAsia" w:ascii="仿宋" w:hAnsi="仿宋" w:eastAsia="仿宋" w:cs="仿宋"/>
          <w:sz w:val="28"/>
          <w:szCs w:val="28"/>
        </w:rPr>
        <w:t>年我国汽车总产量达到</w:t>
      </w:r>
      <w:r>
        <w:rPr>
          <w:rFonts w:ascii="仿宋" w:hAnsi="仿宋" w:eastAsia="仿宋" w:cs="仿宋"/>
          <w:sz w:val="28"/>
          <w:szCs w:val="28"/>
        </w:rPr>
        <w:t>3000</w:t>
      </w:r>
      <w:r>
        <w:rPr>
          <w:rFonts w:hint="eastAsia" w:ascii="仿宋" w:hAnsi="仿宋" w:eastAsia="仿宋" w:cs="仿宋"/>
          <w:sz w:val="28"/>
          <w:szCs w:val="28"/>
        </w:rPr>
        <w:t>万辆，燃油汽车对铜材消费量约为</w:t>
      </w:r>
      <w:r>
        <w:rPr>
          <w:rFonts w:ascii="仿宋" w:hAnsi="仿宋" w:eastAsia="仿宋" w:cs="仿宋"/>
          <w:sz w:val="28"/>
          <w:szCs w:val="28"/>
        </w:rPr>
        <w:t>49.5</w:t>
      </w:r>
      <w:r>
        <w:rPr>
          <w:rFonts w:hint="eastAsia" w:ascii="仿宋" w:hAnsi="仿宋" w:eastAsia="仿宋" w:cs="仿宋"/>
          <w:sz w:val="28"/>
          <w:szCs w:val="28"/>
        </w:rPr>
        <w:t>万吨，新能源汽车产量达到</w:t>
      </w:r>
      <w:r>
        <w:rPr>
          <w:rFonts w:ascii="仿宋" w:hAnsi="仿宋" w:eastAsia="仿宋" w:cs="仿宋"/>
          <w:sz w:val="28"/>
          <w:szCs w:val="28"/>
        </w:rPr>
        <w:t>500</w:t>
      </w:r>
      <w:r>
        <w:rPr>
          <w:rFonts w:hint="eastAsia" w:ascii="仿宋" w:hAnsi="仿宋" w:eastAsia="仿宋" w:cs="仿宋"/>
          <w:sz w:val="28"/>
          <w:szCs w:val="28"/>
        </w:rPr>
        <w:t>万辆，对铜消费量约为</w:t>
      </w:r>
      <w:r>
        <w:rPr>
          <w:rFonts w:ascii="仿宋" w:hAnsi="仿宋" w:eastAsia="仿宋" w:cs="仿宋"/>
          <w:sz w:val="28"/>
          <w:szCs w:val="28"/>
        </w:rPr>
        <w:t>60.71</w:t>
      </w:r>
      <w:r>
        <w:rPr>
          <w:rFonts w:hint="eastAsia" w:ascii="仿宋" w:hAnsi="仿宋" w:eastAsia="仿宋" w:cs="仿宋"/>
          <w:sz w:val="28"/>
          <w:szCs w:val="28"/>
        </w:rPr>
        <w:t>万吨，超过燃油汽车对铜的消费量，合计汽车对铜材消费总量预计达到</w:t>
      </w:r>
      <w:r>
        <w:rPr>
          <w:rFonts w:ascii="仿宋" w:hAnsi="仿宋" w:eastAsia="仿宋" w:cs="仿宋"/>
          <w:sz w:val="28"/>
          <w:szCs w:val="28"/>
        </w:rPr>
        <w:t>110.21</w:t>
      </w:r>
      <w:r>
        <w:rPr>
          <w:rFonts w:hint="eastAsia" w:ascii="仿宋" w:hAnsi="仿宋" w:eastAsia="仿宋" w:cs="仿宋"/>
          <w:sz w:val="28"/>
          <w:szCs w:val="28"/>
        </w:rPr>
        <w:t>万吨。</w:t>
      </w:r>
    </w:p>
    <w:p>
      <w:pPr>
        <w:spacing w:line="560" w:lineRule="exact"/>
        <w:ind w:firstLine="641"/>
        <w:rPr>
          <w:rFonts w:ascii="仿宋" w:hAnsi="仿宋" w:eastAsia="仿宋" w:cs="Times New Roman"/>
          <w:color w:val="FF0000"/>
          <w:sz w:val="28"/>
          <w:szCs w:val="28"/>
        </w:rPr>
      </w:pPr>
      <w:r>
        <w:rPr>
          <w:rFonts w:ascii="Calibri" w:hAnsi="Calibri" w:eastAsia="宋体" w:cs="Calibri"/>
          <w:kern w:val="2"/>
          <w:sz w:val="21"/>
          <w:szCs w:val="21"/>
          <w:lang w:val="en-US" w:eastAsia="zh-CN" w:bidi="ar-SA"/>
        </w:rPr>
        <w:pict>
          <v:shape id="_x0000_s1031" o:spid="_x0000_s1032" type="#_x0000_t75" style="position:absolute;left:0;margin-left:12.7pt;margin-top:13.65pt;height:195.85pt;width:415.8pt;mso-position-horizontal-relative:margin;rotation:0f;z-index:251665408;" o:ole="f" fillcolor="#FFFFFF" filled="f" o:preferrelative="t" stroked="f" coordorigin="0,0" coordsize="21600,21600">
            <v:fill on="f" color2="#FFFFFF" focus="0%"/>
            <v:imagedata gain="65536f" blacklevel="0f" gamma="0" o:title="" r:id="rId12"/>
            <o:lock v:ext="edit" position="f" selection="f" grouping="f" rotation="f" cropping="f" text="f" aspectratio="t"/>
          </v:shape>
        </w:pict>
      </w:r>
    </w:p>
    <w:p>
      <w:pPr>
        <w:rPr>
          <w:rFonts w:ascii="仿宋" w:hAnsi="仿宋" w:eastAsia="仿宋" w:cs="Times New Roman"/>
          <w:color w:val="FF0000"/>
          <w:sz w:val="28"/>
          <w:szCs w:val="28"/>
        </w:rPr>
      </w:pPr>
    </w:p>
    <w:p>
      <w:pPr>
        <w:rPr>
          <w:rFonts w:ascii="仿宋" w:hAnsi="仿宋" w:eastAsia="仿宋" w:cs="Times New Roman"/>
          <w:color w:val="FF0000"/>
          <w:sz w:val="28"/>
          <w:szCs w:val="28"/>
        </w:rPr>
      </w:pPr>
    </w:p>
    <w:p>
      <w:pPr>
        <w:rPr>
          <w:rFonts w:ascii="仿宋" w:hAnsi="仿宋" w:eastAsia="仿宋" w:cs="Times New Roman"/>
          <w:color w:val="FF0000"/>
          <w:sz w:val="28"/>
          <w:szCs w:val="28"/>
        </w:rPr>
      </w:pPr>
    </w:p>
    <w:p>
      <w:pPr>
        <w:rPr>
          <w:rFonts w:ascii="仿宋" w:hAnsi="仿宋" w:eastAsia="仿宋" w:cs="Times New Roman"/>
          <w:color w:val="FF0000"/>
          <w:sz w:val="28"/>
          <w:szCs w:val="28"/>
        </w:rPr>
      </w:pPr>
    </w:p>
    <w:p>
      <w:pPr>
        <w:rPr>
          <w:rFonts w:ascii="仿宋" w:hAnsi="仿宋" w:eastAsia="仿宋" w:cs="Times New Roman"/>
          <w:color w:val="FF0000"/>
          <w:sz w:val="28"/>
          <w:szCs w:val="28"/>
        </w:rPr>
      </w:pPr>
    </w:p>
    <w:p>
      <w:pPr>
        <w:rPr>
          <w:rFonts w:ascii="仿宋" w:hAnsi="仿宋" w:eastAsia="仿宋" w:cs="Times New Roman"/>
          <w:color w:val="FF0000"/>
          <w:sz w:val="28"/>
          <w:szCs w:val="28"/>
        </w:rPr>
      </w:pPr>
    </w:p>
    <w:p>
      <w:pPr>
        <w:jc w:val="center"/>
        <w:rPr>
          <w:rFonts w:hAnsi="Arial" w:eastAsia="华文仿宋" w:cs="Times New Roman"/>
          <w:b/>
          <w:bCs/>
        </w:rPr>
      </w:pPr>
      <w:r>
        <w:rPr>
          <w:rStyle w:val="16"/>
          <w:rFonts w:hint="eastAsia" w:ascii="黑体" w:hAnsi="黑体" w:eastAsia="黑体" w:cs="黑体"/>
          <w:b w:val="0"/>
          <w:bCs w:val="0"/>
        </w:rPr>
        <w:t>图</w:t>
      </w:r>
      <w:r>
        <w:rPr>
          <w:rStyle w:val="16"/>
          <w:rFonts w:ascii="黑体" w:hAnsi="黑体" w:eastAsia="黑体" w:cs="黑体"/>
          <w:b w:val="0"/>
          <w:bCs w:val="0"/>
        </w:rPr>
        <w:t>5-5  2015-2025</w:t>
      </w:r>
      <w:r>
        <w:rPr>
          <w:rStyle w:val="16"/>
          <w:rFonts w:hint="eastAsia" w:ascii="黑体" w:hAnsi="黑体" w:eastAsia="黑体" w:cs="黑体"/>
          <w:b w:val="0"/>
          <w:bCs w:val="0"/>
        </w:rPr>
        <w:t>年中国汽车产量及铜材消费量预测</w:t>
      </w:r>
    </w:p>
    <w:p>
      <w:pPr>
        <w:spacing w:line="560" w:lineRule="exact"/>
        <w:ind w:firstLine="641"/>
        <w:rPr>
          <w:rFonts w:ascii="仿宋" w:hAnsi="仿宋" w:eastAsia="仿宋" w:cs="Times New Roman"/>
          <w:sz w:val="28"/>
          <w:szCs w:val="28"/>
        </w:rPr>
      </w:pPr>
      <w:r>
        <w:rPr>
          <w:rFonts w:hint="eastAsia" w:ascii="仿宋" w:hAnsi="仿宋" w:eastAsia="仿宋" w:cs="仿宋"/>
          <w:sz w:val="28"/>
          <w:szCs w:val="28"/>
        </w:rPr>
        <w:t>汽车对铜消费主要集中在汽车芯片、汽车连接器、散热器用铜板带、汽车线束、电机用铜线、汽车同步器齿环、汽车零部件及锁具等用铜管棒和汽车刹车盘用粉末冶金铜粉等。新能源汽车（小型乘用车、中型客车和大型客车）单台对铜箔、线束、连接器等相关部件对铜材消费量平均到达</w:t>
      </w:r>
      <w:r>
        <w:rPr>
          <w:rFonts w:ascii="仿宋" w:hAnsi="仿宋" w:eastAsia="仿宋" w:cs="仿宋"/>
          <w:sz w:val="28"/>
          <w:szCs w:val="28"/>
        </w:rPr>
        <w:t>85-90</w:t>
      </w:r>
      <w:r>
        <w:rPr>
          <w:rFonts w:hint="eastAsia" w:ascii="仿宋" w:hAnsi="仿宋" w:eastAsia="仿宋" w:cs="仿宋"/>
          <w:sz w:val="28"/>
          <w:szCs w:val="28"/>
        </w:rPr>
        <w:t>公斤，其中电池组在整车中占比消费量达到</w:t>
      </w:r>
      <w:r>
        <w:rPr>
          <w:rFonts w:ascii="仿宋" w:hAnsi="仿宋" w:eastAsia="仿宋" w:cs="仿宋"/>
          <w:sz w:val="28"/>
          <w:szCs w:val="28"/>
        </w:rPr>
        <w:t>70%</w:t>
      </w:r>
      <w:r>
        <w:rPr>
          <w:rFonts w:hint="eastAsia" w:ascii="仿宋" w:hAnsi="仿宋" w:eastAsia="仿宋" w:cs="仿宋"/>
          <w:sz w:val="28"/>
          <w:szCs w:val="28"/>
        </w:rPr>
        <w:t>。</w:t>
      </w:r>
      <w:r>
        <w:rPr>
          <w:rFonts w:ascii="仿宋" w:hAnsi="仿宋" w:eastAsia="仿宋" w:cs="仿宋"/>
          <w:sz w:val="28"/>
          <w:szCs w:val="28"/>
        </w:rPr>
        <w:t>2020</w:t>
      </w:r>
      <w:r>
        <w:rPr>
          <w:rFonts w:hint="eastAsia" w:ascii="仿宋" w:hAnsi="仿宋" w:eastAsia="仿宋" w:cs="仿宋"/>
          <w:sz w:val="28"/>
          <w:szCs w:val="28"/>
        </w:rPr>
        <w:t>年我国新能源汽车电解铜箔消费量达到</w:t>
      </w:r>
      <w:r>
        <w:rPr>
          <w:rFonts w:ascii="仿宋" w:hAnsi="仿宋" w:eastAsia="仿宋" w:cs="仿宋"/>
          <w:sz w:val="28"/>
          <w:szCs w:val="28"/>
        </w:rPr>
        <w:t>13.42</w:t>
      </w:r>
      <w:r>
        <w:rPr>
          <w:rFonts w:hint="eastAsia" w:ascii="仿宋" w:hAnsi="仿宋" w:eastAsia="仿宋" w:cs="仿宋"/>
          <w:sz w:val="28"/>
          <w:szCs w:val="28"/>
        </w:rPr>
        <w:t>万吨，按照</w:t>
      </w:r>
      <w:r>
        <w:rPr>
          <w:rFonts w:ascii="仿宋" w:hAnsi="仿宋" w:eastAsia="仿宋" w:cs="仿宋"/>
          <w:sz w:val="28"/>
          <w:szCs w:val="28"/>
        </w:rPr>
        <w:t>2025</w:t>
      </w:r>
      <w:r>
        <w:rPr>
          <w:rFonts w:hint="eastAsia" w:ascii="仿宋" w:hAnsi="仿宋" w:eastAsia="仿宋" w:cs="仿宋"/>
          <w:sz w:val="28"/>
          <w:szCs w:val="28"/>
        </w:rPr>
        <w:t>年</w:t>
      </w:r>
      <w:r>
        <w:rPr>
          <w:rFonts w:ascii="仿宋" w:hAnsi="仿宋" w:eastAsia="仿宋" w:cs="仿宋"/>
          <w:sz w:val="28"/>
          <w:szCs w:val="28"/>
        </w:rPr>
        <w:t>500</w:t>
      </w:r>
      <w:r>
        <w:rPr>
          <w:rFonts w:hint="eastAsia" w:ascii="仿宋" w:hAnsi="仿宋" w:eastAsia="仿宋" w:cs="仿宋"/>
          <w:sz w:val="28"/>
          <w:szCs w:val="28"/>
        </w:rPr>
        <w:t>万辆的规模估算，届时我国电动汽车铜箔年消费量将达到</w:t>
      </w:r>
      <w:r>
        <w:rPr>
          <w:rFonts w:ascii="仿宋" w:hAnsi="仿宋" w:eastAsia="仿宋" w:cs="仿宋"/>
          <w:sz w:val="28"/>
          <w:szCs w:val="28"/>
        </w:rPr>
        <w:t>42.5-45</w:t>
      </w:r>
      <w:r>
        <w:rPr>
          <w:rFonts w:hint="eastAsia" w:ascii="仿宋" w:hAnsi="仿宋" w:eastAsia="仿宋" w:cs="仿宋"/>
          <w:sz w:val="28"/>
          <w:szCs w:val="28"/>
        </w:rPr>
        <w:t>万吨。</w:t>
      </w:r>
    </w:p>
    <w:p>
      <w:pPr>
        <w:spacing w:line="560" w:lineRule="exact"/>
        <w:ind w:firstLine="641"/>
        <w:rPr>
          <w:rFonts w:ascii="仿宋" w:hAnsi="仿宋" w:eastAsia="仿宋" w:cs="Times New Roman"/>
          <w:color w:val="FF0000"/>
          <w:sz w:val="28"/>
          <w:szCs w:val="28"/>
        </w:rPr>
      </w:pPr>
      <w:r>
        <w:rPr>
          <w:rFonts w:ascii="Calibri" w:hAnsi="Calibri" w:eastAsia="宋体" w:cs="Calibri"/>
          <w:kern w:val="2"/>
          <w:sz w:val="21"/>
          <w:szCs w:val="21"/>
          <w:lang w:val="en-US" w:eastAsia="zh-CN" w:bidi="ar-SA"/>
        </w:rPr>
        <w:pict>
          <v:shape id="_x0000_s1032" o:spid="_x0000_s1033" type="#_x0000_t75" style="position:absolute;left:0;margin-left:31.55pt;margin-top:6.9pt;height:198.8pt;width:388.75pt;mso-position-horizontal-relative:margin;rotation:0f;z-index:251666432;" o:ole="f" fillcolor="#FFFFFF" filled="f" o:preferrelative="t" stroked="f" coordorigin="0,0" coordsize="21600,21600">
            <v:fill on="f" color2="#FFFFFF" focus="0%"/>
            <v:imagedata gain="65536f" blacklevel="0f" gamma="0" o:title="" r:id="rId13"/>
            <o:lock v:ext="edit" position="f" selection="f" grouping="f" rotation="f" cropping="f" text="f" aspectratio="t"/>
          </v:shape>
        </w:pict>
      </w:r>
    </w:p>
    <w:p>
      <w:pPr>
        <w:spacing w:line="560" w:lineRule="exact"/>
        <w:ind w:firstLine="641"/>
        <w:rPr>
          <w:rFonts w:ascii="仿宋" w:hAnsi="仿宋" w:eastAsia="仿宋" w:cs="Times New Roman"/>
          <w:color w:val="FF0000"/>
          <w:sz w:val="28"/>
          <w:szCs w:val="28"/>
        </w:rPr>
      </w:pPr>
    </w:p>
    <w:p>
      <w:pPr>
        <w:spacing w:line="560" w:lineRule="exact"/>
        <w:ind w:firstLine="641"/>
        <w:rPr>
          <w:rFonts w:ascii="仿宋" w:hAnsi="仿宋" w:eastAsia="仿宋" w:cs="Times New Roman"/>
          <w:color w:val="FF0000"/>
          <w:sz w:val="28"/>
          <w:szCs w:val="28"/>
        </w:rPr>
      </w:pPr>
    </w:p>
    <w:p>
      <w:pPr>
        <w:spacing w:line="560" w:lineRule="exact"/>
        <w:rPr>
          <w:rFonts w:ascii="仿宋" w:hAnsi="仿宋" w:eastAsia="仿宋" w:cs="Times New Roman"/>
          <w:color w:val="FF0000"/>
          <w:sz w:val="28"/>
          <w:szCs w:val="28"/>
        </w:rPr>
      </w:pPr>
    </w:p>
    <w:p>
      <w:pPr>
        <w:rPr>
          <w:rFonts w:ascii="仿宋" w:hAnsi="仿宋" w:eastAsia="仿宋" w:cs="Times New Roman"/>
          <w:sz w:val="28"/>
          <w:szCs w:val="28"/>
        </w:rPr>
      </w:pPr>
    </w:p>
    <w:p>
      <w:pPr>
        <w:jc w:val="center"/>
        <w:rPr>
          <w:rStyle w:val="16"/>
          <w:rFonts w:ascii="黑体" w:hAnsi="黑体" w:eastAsia="黑体" w:cs="Times New Roman"/>
          <w:b w:val="0"/>
          <w:bCs w:val="0"/>
        </w:rPr>
      </w:pPr>
    </w:p>
    <w:p>
      <w:pPr>
        <w:jc w:val="center"/>
        <w:rPr>
          <w:rStyle w:val="16"/>
          <w:rFonts w:ascii="黑体" w:hAnsi="黑体" w:eastAsia="黑体" w:cs="Times New Roman"/>
          <w:b w:val="0"/>
          <w:bCs w:val="0"/>
        </w:rPr>
      </w:pPr>
    </w:p>
    <w:p>
      <w:pPr>
        <w:jc w:val="center"/>
        <w:rPr>
          <w:rStyle w:val="16"/>
          <w:rFonts w:ascii="黑体" w:hAnsi="黑体" w:eastAsia="黑体" w:cs="Times New Roman"/>
          <w:b w:val="0"/>
          <w:bCs w:val="0"/>
        </w:rPr>
      </w:pPr>
    </w:p>
    <w:p>
      <w:pPr>
        <w:rPr>
          <w:rStyle w:val="16"/>
          <w:rFonts w:ascii="黑体" w:hAnsi="黑体" w:eastAsia="黑体" w:cs="Times New Roman"/>
          <w:b w:val="0"/>
          <w:bCs w:val="0"/>
        </w:rPr>
      </w:pPr>
    </w:p>
    <w:p>
      <w:pPr>
        <w:jc w:val="center"/>
        <w:rPr>
          <w:rStyle w:val="16"/>
          <w:rFonts w:ascii="黑体" w:hAnsi="黑体" w:eastAsia="黑体" w:cs="Times New Roman"/>
          <w:b w:val="0"/>
          <w:bCs w:val="0"/>
        </w:rPr>
      </w:pPr>
    </w:p>
    <w:p>
      <w:pPr>
        <w:jc w:val="center"/>
        <w:rPr>
          <w:rFonts w:ascii="仿宋" w:hAnsi="仿宋" w:eastAsia="仿宋" w:cs="Times New Roman"/>
          <w:b/>
          <w:bCs/>
          <w:sz w:val="28"/>
          <w:szCs w:val="28"/>
        </w:rPr>
      </w:pPr>
      <w:r>
        <w:rPr>
          <w:rStyle w:val="16"/>
          <w:rFonts w:hint="eastAsia" w:ascii="黑体" w:hAnsi="黑体" w:eastAsia="黑体" w:cs="黑体"/>
          <w:b w:val="0"/>
          <w:bCs w:val="0"/>
        </w:rPr>
        <w:t>图</w:t>
      </w:r>
      <w:r>
        <w:rPr>
          <w:rStyle w:val="16"/>
          <w:rFonts w:ascii="黑体" w:hAnsi="黑体" w:eastAsia="黑体" w:cs="黑体"/>
          <w:b w:val="0"/>
          <w:bCs w:val="0"/>
        </w:rPr>
        <w:t>5-6  2015-2025</w:t>
      </w:r>
      <w:r>
        <w:rPr>
          <w:rStyle w:val="16"/>
          <w:rFonts w:hint="eastAsia" w:ascii="黑体" w:hAnsi="黑体" w:eastAsia="黑体" w:cs="黑体"/>
          <w:b w:val="0"/>
          <w:bCs w:val="0"/>
        </w:rPr>
        <w:t>年中国新能源汽车铜材分品种消费量及预测</w:t>
      </w:r>
      <w:r>
        <w:rPr>
          <w:rStyle w:val="16"/>
          <w:rFonts w:ascii="黑体" w:hAnsi="黑体" w:eastAsia="黑体" w:cs="黑体"/>
          <w:b w:val="0"/>
          <w:bCs w:val="0"/>
        </w:rPr>
        <w:t xml:space="preserve">  </w:t>
      </w:r>
      <w:r>
        <w:rPr>
          <w:rStyle w:val="16"/>
          <w:rFonts w:hint="eastAsia" w:ascii="黑体" w:hAnsi="黑体" w:eastAsia="黑体" w:cs="黑体"/>
          <w:b w:val="0"/>
          <w:bCs w:val="0"/>
        </w:rPr>
        <w:t>单位：万吨</w:t>
      </w:r>
    </w:p>
    <w:p>
      <w:pPr>
        <w:ind w:firstLine="560"/>
        <w:rPr>
          <w:rFonts w:ascii="仿宋" w:hAnsi="仿宋" w:eastAsia="仿宋" w:cs="Times New Roman"/>
          <w:sz w:val="28"/>
          <w:szCs w:val="28"/>
        </w:rPr>
      </w:pPr>
      <w:r>
        <w:rPr>
          <w:rFonts w:hint="eastAsia" w:ascii="仿宋" w:hAnsi="仿宋" w:eastAsia="仿宋" w:cs="仿宋"/>
          <w:sz w:val="28"/>
          <w:szCs w:val="28"/>
        </w:rPr>
        <w:t>在轨道交通方面，</w:t>
      </w:r>
      <w:r>
        <w:rPr>
          <w:rFonts w:ascii="仿宋" w:hAnsi="仿宋" w:eastAsia="仿宋" w:cs="仿宋"/>
          <w:sz w:val="28"/>
          <w:szCs w:val="28"/>
        </w:rPr>
        <w:t>2020</w:t>
      </w:r>
      <w:r>
        <w:rPr>
          <w:rFonts w:hint="eastAsia" w:ascii="仿宋" w:hAnsi="仿宋" w:eastAsia="仿宋" w:cs="仿宋"/>
          <w:sz w:val="28"/>
          <w:szCs w:val="28"/>
        </w:rPr>
        <w:t>年全国铁路完成固定资产投资</w:t>
      </w:r>
      <w:r>
        <w:rPr>
          <w:rFonts w:ascii="仿宋" w:hAnsi="仿宋" w:eastAsia="仿宋" w:cs="仿宋"/>
          <w:sz w:val="28"/>
          <w:szCs w:val="28"/>
        </w:rPr>
        <w:t>7819</w:t>
      </w:r>
      <w:r>
        <w:rPr>
          <w:rFonts w:hint="eastAsia" w:ascii="仿宋" w:hAnsi="仿宋" w:eastAsia="仿宋" w:cs="仿宋"/>
          <w:sz w:val="28"/>
          <w:szCs w:val="28"/>
        </w:rPr>
        <w:t>亿元，</w:t>
      </w:r>
      <w:r>
        <w:rPr>
          <w:rFonts w:hint="eastAsia" w:ascii="微软雅黑" w:hAnsi="微软雅黑" w:eastAsia="微软雅黑" w:cs="微软雅黑"/>
          <w:spacing w:val="15"/>
          <w:sz w:val="22"/>
          <w:szCs w:val="22"/>
          <w:shd w:val="clear" w:color="auto" w:fill="FFFFFF"/>
        </w:rPr>
        <w:t>全</w:t>
      </w:r>
      <w:r>
        <w:rPr>
          <w:rFonts w:hint="eastAsia" w:ascii="仿宋" w:hAnsi="仿宋" w:eastAsia="仿宋" w:cs="仿宋"/>
          <w:sz w:val="28"/>
          <w:szCs w:val="28"/>
        </w:rPr>
        <w:t>国铁路营业里程由</w:t>
      </w:r>
      <w:r>
        <w:rPr>
          <w:rFonts w:ascii="仿宋" w:hAnsi="仿宋" w:eastAsia="仿宋" w:cs="仿宋"/>
          <w:sz w:val="28"/>
          <w:szCs w:val="28"/>
        </w:rPr>
        <w:t>12.10</w:t>
      </w:r>
      <w:r>
        <w:rPr>
          <w:rFonts w:hint="eastAsia" w:ascii="仿宋" w:hAnsi="仿宋" w:eastAsia="仿宋" w:cs="仿宋"/>
          <w:sz w:val="28"/>
          <w:szCs w:val="28"/>
        </w:rPr>
        <w:t>万公里增加到</w:t>
      </w:r>
      <w:r>
        <w:rPr>
          <w:rFonts w:ascii="仿宋" w:hAnsi="仿宋" w:eastAsia="仿宋" w:cs="仿宋"/>
          <w:sz w:val="28"/>
          <w:szCs w:val="28"/>
        </w:rPr>
        <w:t>14.63</w:t>
      </w:r>
      <w:r>
        <w:rPr>
          <w:rFonts w:hint="eastAsia" w:ascii="仿宋" w:hAnsi="仿宋" w:eastAsia="仿宋" w:cs="仿宋"/>
          <w:sz w:val="28"/>
          <w:szCs w:val="28"/>
        </w:rPr>
        <w:t>万公里、增长</w:t>
      </w:r>
      <w:r>
        <w:rPr>
          <w:rFonts w:ascii="仿宋" w:hAnsi="仿宋" w:eastAsia="仿宋" w:cs="仿宋"/>
          <w:sz w:val="28"/>
          <w:szCs w:val="28"/>
        </w:rPr>
        <w:t>20.9%</w:t>
      </w:r>
      <w:r>
        <w:rPr>
          <w:rFonts w:hint="eastAsia" w:ascii="仿宋" w:hAnsi="仿宋" w:eastAsia="仿宋" w:cs="仿宋"/>
          <w:sz w:val="28"/>
          <w:szCs w:val="28"/>
        </w:rPr>
        <w:t>，高铁由</w:t>
      </w:r>
      <w:r>
        <w:rPr>
          <w:rFonts w:ascii="仿宋" w:hAnsi="仿宋" w:eastAsia="仿宋" w:cs="仿宋"/>
          <w:sz w:val="28"/>
          <w:szCs w:val="28"/>
        </w:rPr>
        <w:t>1.98</w:t>
      </w:r>
      <w:r>
        <w:rPr>
          <w:rFonts w:hint="eastAsia" w:ascii="仿宋" w:hAnsi="仿宋" w:eastAsia="仿宋" w:cs="仿宋"/>
          <w:sz w:val="28"/>
          <w:szCs w:val="28"/>
        </w:rPr>
        <w:t>万公里增加到</w:t>
      </w:r>
      <w:r>
        <w:rPr>
          <w:rFonts w:ascii="仿宋" w:hAnsi="仿宋" w:eastAsia="仿宋" w:cs="仿宋"/>
          <w:sz w:val="28"/>
          <w:szCs w:val="28"/>
        </w:rPr>
        <w:t>3.79</w:t>
      </w:r>
      <w:r>
        <w:rPr>
          <w:rFonts w:hint="eastAsia" w:ascii="仿宋" w:hAnsi="仿宋" w:eastAsia="仿宋" w:cs="仿宋"/>
          <w:sz w:val="28"/>
          <w:szCs w:val="28"/>
        </w:rPr>
        <w:t>万公里、翻了近一番，复线率由</w:t>
      </w:r>
      <w:r>
        <w:rPr>
          <w:rFonts w:ascii="仿宋" w:hAnsi="仿宋" w:eastAsia="仿宋" w:cs="仿宋"/>
          <w:sz w:val="28"/>
          <w:szCs w:val="28"/>
        </w:rPr>
        <w:t>53.5%</w:t>
      </w:r>
      <w:r>
        <w:rPr>
          <w:rFonts w:hint="eastAsia" w:ascii="仿宋" w:hAnsi="仿宋" w:eastAsia="仿宋" w:cs="仿宋"/>
          <w:sz w:val="28"/>
          <w:szCs w:val="28"/>
        </w:rPr>
        <w:t>增长到</w:t>
      </w:r>
      <w:r>
        <w:rPr>
          <w:rFonts w:ascii="仿宋" w:hAnsi="仿宋" w:eastAsia="仿宋" w:cs="仿宋"/>
          <w:sz w:val="28"/>
          <w:szCs w:val="28"/>
        </w:rPr>
        <w:t>59.5%</w:t>
      </w:r>
      <w:r>
        <w:rPr>
          <w:rFonts w:hint="eastAsia" w:ascii="仿宋" w:hAnsi="仿宋" w:eastAsia="仿宋" w:cs="仿宋"/>
          <w:sz w:val="28"/>
          <w:szCs w:val="28"/>
        </w:rPr>
        <w:t>，电气化率由</w:t>
      </w:r>
      <w:r>
        <w:rPr>
          <w:rFonts w:ascii="仿宋" w:hAnsi="仿宋" w:eastAsia="仿宋" w:cs="仿宋"/>
          <w:sz w:val="28"/>
          <w:szCs w:val="28"/>
        </w:rPr>
        <w:t>61.8%</w:t>
      </w:r>
      <w:r>
        <w:rPr>
          <w:rFonts w:hint="eastAsia" w:ascii="仿宋" w:hAnsi="仿宋" w:eastAsia="仿宋" w:cs="仿宋"/>
          <w:sz w:val="28"/>
          <w:szCs w:val="28"/>
        </w:rPr>
        <w:t>增长到</w:t>
      </w:r>
      <w:r>
        <w:rPr>
          <w:rFonts w:ascii="仿宋" w:hAnsi="仿宋" w:eastAsia="仿宋" w:cs="仿宋"/>
          <w:sz w:val="28"/>
          <w:szCs w:val="28"/>
        </w:rPr>
        <w:t>72.8%</w:t>
      </w:r>
      <w:r>
        <w:rPr>
          <w:rFonts w:hint="eastAsia" w:ascii="仿宋" w:hAnsi="仿宋" w:eastAsia="仿宋" w:cs="仿宋"/>
          <w:sz w:val="28"/>
          <w:szCs w:val="28"/>
        </w:rPr>
        <w:t>，“四纵四横”高铁网提前建成，“八纵八横”高铁网加密成型；国家铁路完成货物发送量</w:t>
      </w:r>
      <w:r>
        <w:rPr>
          <w:rFonts w:ascii="仿宋" w:hAnsi="仿宋" w:eastAsia="仿宋" w:cs="仿宋"/>
          <w:sz w:val="28"/>
          <w:szCs w:val="28"/>
        </w:rPr>
        <w:t>157.8</w:t>
      </w:r>
      <w:r>
        <w:rPr>
          <w:rFonts w:hint="eastAsia" w:ascii="仿宋" w:hAnsi="仿宋" w:eastAsia="仿宋" w:cs="仿宋"/>
          <w:sz w:val="28"/>
          <w:szCs w:val="28"/>
        </w:rPr>
        <w:t>亿吨、较“十二五”增长</w:t>
      </w:r>
      <w:r>
        <w:rPr>
          <w:rFonts w:ascii="仿宋" w:hAnsi="仿宋" w:eastAsia="仿宋" w:cs="仿宋"/>
          <w:sz w:val="28"/>
          <w:szCs w:val="28"/>
        </w:rPr>
        <w:t>1.7%</w:t>
      </w:r>
      <w:r>
        <w:rPr>
          <w:rFonts w:hint="eastAsia" w:ascii="仿宋" w:hAnsi="仿宋" w:eastAsia="仿宋" w:cs="仿宋"/>
          <w:sz w:val="28"/>
          <w:szCs w:val="28"/>
        </w:rPr>
        <w:t>，完成旅客发送量</w:t>
      </w:r>
      <w:r>
        <w:rPr>
          <w:rFonts w:ascii="仿宋" w:hAnsi="仿宋" w:eastAsia="仿宋" w:cs="仿宋"/>
          <w:sz w:val="28"/>
          <w:szCs w:val="28"/>
        </w:rPr>
        <w:t>149</w:t>
      </w:r>
      <w:r>
        <w:rPr>
          <w:rFonts w:hint="eastAsia" w:ascii="仿宋" w:hAnsi="仿宋" w:eastAsia="仿宋" w:cs="仿宋"/>
          <w:sz w:val="28"/>
          <w:szCs w:val="28"/>
        </w:rPr>
        <w:t>亿人，其中动车组发送</w:t>
      </w:r>
      <w:r>
        <w:rPr>
          <w:rFonts w:ascii="仿宋" w:hAnsi="仿宋" w:eastAsia="仿宋" w:cs="仿宋"/>
          <w:sz w:val="28"/>
          <w:szCs w:val="28"/>
        </w:rPr>
        <w:t>90</w:t>
      </w:r>
      <w:r>
        <w:rPr>
          <w:rFonts w:hint="eastAsia" w:ascii="仿宋" w:hAnsi="仿宋" w:eastAsia="仿宋" w:cs="仿宋"/>
          <w:sz w:val="28"/>
          <w:szCs w:val="28"/>
        </w:rPr>
        <w:t>亿人，较“十二五”分别增长</w:t>
      </w:r>
      <w:r>
        <w:rPr>
          <w:rFonts w:ascii="仿宋" w:hAnsi="仿宋" w:eastAsia="仿宋" w:cs="仿宋"/>
          <w:sz w:val="28"/>
          <w:szCs w:val="28"/>
        </w:rPr>
        <w:t>41%</w:t>
      </w:r>
      <w:r>
        <w:rPr>
          <w:rFonts w:hint="eastAsia" w:ascii="仿宋" w:hAnsi="仿宋" w:eastAsia="仿宋" w:cs="仿宋"/>
          <w:sz w:val="28"/>
          <w:szCs w:val="28"/>
        </w:rPr>
        <w:t>、</w:t>
      </w:r>
      <w:r>
        <w:rPr>
          <w:rFonts w:ascii="仿宋" w:hAnsi="仿宋" w:eastAsia="仿宋" w:cs="仿宋"/>
          <w:sz w:val="28"/>
          <w:szCs w:val="28"/>
        </w:rPr>
        <w:t>152%</w:t>
      </w:r>
      <w:r>
        <w:rPr>
          <w:rFonts w:hint="eastAsia" w:ascii="仿宋" w:hAnsi="仿宋" w:eastAsia="仿宋" w:cs="仿宋"/>
          <w:sz w:val="28"/>
          <w:szCs w:val="28"/>
        </w:rPr>
        <w:t>。到</w:t>
      </w:r>
      <w:r>
        <w:rPr>
          <w:rFonts w:ascii="仿宋" w:hAnsi="仿宋" w:eastAsia="仿宋" w:cs="仿宋"/>
          <w:sz w:val="28"/>
          <w:szCs w:val="28"/>
        </w:rPr>
        <w:t>2030</w:t>
      </w:r>
      <w:r>
        <w:rPr>
          <w:rFonts w:hint="eastAsia" w:ascii="仿宋" w:hAnsi="仿宋" w:eastAsia="仿宋" w:cs="仿宋"/>
          <w:sz w:val="28"/>
          <w:szCs w:val="28"/>
        </w:rPr>
        <w:t>年我国铁路网运营路程将到达</w:t>
      </w:r>
      <w:r>
        <w:rPr>
          <w:rFonts w:ascii="仿宋" w:hAnsi="仿宋" w:eastAsia="仿宋" w:cs="仿宋"/>
          <w:sz w:val="28"/>
          <w:szCs w:val="28"/>
        </w:rPr>
        <w:t>20</w:t>
      </w:r>
      <w:r>
        <w:rPr>
          <w:rFonts w:hint="eastAsia" w:ascii="仿宋" w:hAnsi="仿宋" w:eastAsia="仿宋" w:cs="仿宋"/>
          <w:sz w:val="28"/>
          <w:szCs w:val="28"/>
        </w:rPr>
        <w:t>万公里左右，其间高速铁路</w:t>
      </w:r>
      <w:r>
        <w:rPr>
          <w:rFonts w:ascii="仿宋" w:hAnsi="仿宋" w:eastAsia="仿宋" w:cs="仿宋"/>
          <w:sz w:val="28"/>
          <w:szCs w:val="28"/>
        </w:rPr>
        <w:t>4.5</w:t>
      </w:r>
      <w:r>
        <w:rPr>
          <w:rFonts w:hint="eastAsia" w:ascii="仿宋" w:hAnsi="仿宋" w:eastAsia="仿宋" w:cs="仿宋"/>
          <w:sz w:val="28"/>
          <w:szCs w:val="28"/>
        </w:rPr>
        <w:t>万公里左右。因此未来铁路新增投资和维修更新高铁接触线、承力索、连接线夹、接电铜排、变压器铜带等设施，预计年均新增铜材</w:t>
      </w:r>
      <w:r>
        <w:rPr>
          <w:rFonts w:ascii="仿宋" w:hAnsi="仿宋" w:eastAsia="仿宋" w:cs="仿宋"/>
          <w:sz w:val="28"/>
          <w:szCs w:val="28"/>
        </w:rPr>
        <w:t>8-10</w:t>
      </w:r>
      <w:r>
        <w:rPr>
          <w:rFonts w:hint="eastAsia" w:ascii="仿宋" w:hAnsi="仿宋" w:eastAsia="仿宋" w:cs="仿宋"/>
          <w:sz w:val="28"/>
          <w:szCs w:val="28"/>
        </w:rPr>
        <w:t>万吨左右。</w:t>
      </w:r>
    </w:p>
    <w:p>
      <w:pPr>
        <w:pStyle w:val="4"/>
        <w:spacing w:before="240" w:after="120" w:line="415" w:lineRule="auto"/>
        <w:rPr>
          <w:rFonts w:ascii="仿宋" w:hAnsi="仿宋" w:eastAsia="仿宋" w:cs="Times New Roman"/>
          <w:sz w:val="28"/>
          <w:szCs w:val="28"/>
        </w:rPr>
      </w:pPr>
      <w:bookmarkStart w:id="44" w:name="_Toc70684657"/>
      <w:r>
        <w:rPr>
          <w:rFonts w:ascii="仿宋" w:hAnsi="仿宋" w:eastAsia="仿宋" w:cs="仿宋"/>
          <w:sz w:val="28"/>
          <w:szCs w:val="28"/>
        </w:rPr>
        <w:t>3.</w:t>
      </w:r>
      <w:r>
        <w:rPr>
          <w:rFonts w:hint="eastAsia" w:ascii="仿宋" w:hAnsi="仿宋" w:eastAsia="仿宋" w:cs="仿宋"/>
          <w:sz w:val="28"/>
          <w:szCs w:val="28"/>
        </w:rPr>
        <w:t>重点项目</w:t>
      </w:r>
      <w:bookmarkEnd w:id="44"/>
    </w:p>
    <w:p>
      <w:pPr>
        <w:ind w:firstLine="560"/>
        <w:rPr>
          <w:rFonts w:ascii="仿宋" w:hAnsi="仿宋" w:eastAsia="仿宋" w:cs="Times New Roman"/>
          <w:sz w:val="28"/>
          <w:szCs w:val="28"/>
        </w:rPr>
      </w:pPr>
      <w:r>
        <w:rPr>
          <w:rFonts w:hint="eastAsia" w:ascii="仿宋" w:hAnsi="仿宋" w:eastAsia="仿宋" w:cs="仿宋"/>
          <w:sz w:val="28"/>
          <w:szCs w:val="28"/>
        </w:rPr>
        <w:t>根据龙岩市现有铜产业规模和基础条件，以国家发展战略性新兴产业和“新基建”投资建设为契机，构建特高压输变电产业链、电子通信产业链、新能源智能交通产业链和家电卫浴等四大铜产业集群，大力发展适合“工业强基”、</w:t>
      </w:r>
      <w:r>
        <w:rPr>
          <w:rFonts w:ascii="仿宋" w:hAnsi="仿宋" w:eastAsia="仿宋" w:cs="仿宋"/>
          <w:sz w:val="28"/>
          <w:szCs w:val="28"/>
        </w:rPr>
        <w:t>5G</w:t>
      </w:r>
      <w:r>
        <w:rPr>
          <w:rFonts w:hint="eastAsia" w:ascii="仿宋" w:hAnsi="仿宋" w:eastAsia="仿宋" w:cs="仿宋"/>
          <w:sz w:val="28"/>
          <w:szCs w:val="28"/>
        </w:rPr>
        <w:t>基建、特高压、智能轨道交通、新能源汽车及充电桩、工业互联网等重大工程装备为终端产品的铜产业配套工业体系及产品，成为“十四五”期间龙岩市发展铜产业的重要举措。</w:t>
      </w:r>
    </w:p>
    <w:p>
      <w:pPr>
        <w:ind w:firstLine="560"/>
        <w:rPr>
          <w:rFonts w:ascii="仿宋" w:hAnsi="仿宋" w:eastAsia="仿宋" w:cs="Times New Roman"/>
          <w:sz w:val="28"/>
          <w:szCs w:val="28"/>
        </w:rPr>
      </w:pPr>
      <w:r>
        <w:rPr>
          <w:rFonts w:hint="eastAsia" w:ascii="仿宋" w:hAnsi="仿宋" w:eastAsia="仿宋" w:cs="仿宋"/>
          <w:sz w:val="28"/>
          <w:szCs w:val="28"/>
        </w:rPr>
        <w:t>在“十四五”规划建设的重点项目发展中，不仅要稳步发展现有铜产业项目的基础上，积极落实和跟进正在洽谈的相关项目，重点推进“十四五”铜产业链优化升级项目的实现。</w:t>
      </w:r>
    </w:p>
    <w:p>
      <w:pPr>
        <w:pStyle w:val="5"/>
        <w:spacing w:before="240" w:after="120" w:line="377" w:lineRule="auto"/>
        <w:rPr>
          <w:rFonts w:ascii="仿宋" w:hAnsi="仿宋" w:eastAsia="仿宋" w:cs="Times New Roman"/>
        </w:rPr>
      </w:pPr>
      <w:r>
        <w:rPr>
          <w:rFonts w:hint="eastAsia" w:ascii="仿宋" w:hAnsi="仿宋" w:eastAsia="仿宋" w:cs="仿宋"/>
        </w:rPr>
        <w:t>（</w:t>
      </w:r>
      <w:r>
        <w:rPr>
          <w:rFonts w:ascii="仿宋" w:hAnsi="仿宋" w:eastAsia="仿宋" w:cs="仿宋"/>
        </w:rPr>
        <w:t>1</w:t>
      </w:r>
      <w:r>
        <w:rPr>
          <w:rFonts w:hint="eastAsia" w:ascii="仿宋" w:hAnsi="仿宋" w:eastAsia="仿宋" w:cs="仿宋"/>
        </w:rPr>
        <w:t>）特高压输变电产业链</w:t>
      </w:r>
    </w:p>
    <w:p>
      <w:pPr>
        <w:ind w:firstLine="560"/>
        <w:rPr>
          <w:rFonts w:ascii="仿宋" w:hAnsi="仿宋" w:eastAsia="仿宋" w:cs="Times New Roman"/>
          <w:sz w:val="28"/>
          <w:szCs w:val="28"/>
        </w:rPr>
      </w:pPr>
      <w:r>
        <w:rPr>
          <w:rFonts w:hint="eastAsia" w:ascii="仿宋" w:hAnsi="仿宋" w:eastAsia="仿宋" w:cs="仿宋"/>
          <w:sz w:val="28"/>
          <w:szCs w:val="28"/>
        </w:rPr>
        <w:t>依托上杭太阳铜业有限公司年产</w:t>
      </w:r>
      <w:r>
        <w:rPr>
          <w:rFonts w:ascii="仿宋" w:hAnsi="仿宋" w:eastAsia="仿宋" w:cs="仿宋"/>
          <w:sz w:val="28"/>
          <w:szCs w:val="28"/>
        </w:rPr>
        <w:t>22</w:t>
      </w:r>
      <w:r>
        <w:rPr>
          <w:rFonts w:hint="eastAsia" w:ascii="仿宋" w:hAnsi="仿宋" w:eastAsia="仿宋" w:cs="仿宋"/>
          <w:sz w:val="28"/>
          <w:szCs w:val="28"/>
        </w:rPr>
        <w:t>万吨低氧铜杆和年产</w:t>
      </w:r>
      <w:r>
        <w:rPr>
          <w:rFonts w:ascii="仿宋" w:hAnsi="仿宋" w:eastAsia="仿宋" w:cs="仿宋"/>
          <w:sz w:val="28"/>
          <w:szCs w:val="28"/>
        </w:rPr>
        <w:t>2</w:t>
      </w:r>
      <w:r>
        <w:rPr>
          <w:rFonts w:hint="eastAsia" w:ascii="仿宋" w:hAnsi="仿宋" w:eastAsia="仿宋" w:cs="仿宋"/>
          <w:sz w:val="28"/>
          <w:szCs w:val="28"/>
        </w:rPr>
        <w:t>万吨无氧铜杆的生产能力，开发和生产特高压直流传输电缆、特高压直流供电电缆、特高压变压器电磁绕组线、特高压换流站（变电站）用导电铜排（管）材料的生产；积极推进传统电力行业用中低压电缆、特种风电核电船用电缆，电子通讯电缆、接插式导电母线铜排项目，形成以高端电力“新基建”特高压输变电产业链和传统输配电产业链齐头并进的局面。</w:t>
      </w:r>
    </w:p>
    <w:p>
      <w:pPr>
        <w:pStyle w:val="5"/>
        <w:spacing w:before="240" w:after="120" w:line="377" w:lineRule="auto"/>
        <w:rPr>
          <w:rFonts w:ascii="仿宋" w:hAnsi="仿宋" w:eastAsia="仿宋" w:cs="Times New Roman"/>
        </w:rPr>
      </w:pPr>
      <w:r>
        <w:rPr>
          <w:rFonts w:hint="eastAsia" w:ascii="仿宋" w:hAnsi="仿宋" w:eastAsia="仿宋" w:cs="仿宋"/>
        </w:rPr>
        <w:t>（</w:t>
      </w:r>
      <w:r>
        <w:rPr>
          <w:rFonts w:ascii="仿宋" w:hAnsi="仿宋" w:eastAsia="仿宋" w:cs="仿宋"/>
        </w:rPr>
        <w:t>2</w:t>
      </w:r>
      <w:r>
        <w:rPr>
          <w:rFonts w:hint="eastAsia" w:ascii="仿宋" w:hAnsi="仿宋" w:eastAsia="仿宋" w:cs="仿宋"/>
        </w:rPr>
        <w:t>）电子通信产业链方面</w:t>
      </w:r>
    </w:p>
    <w:p>
      <w:pPr>
        <w:ind w:firstLine="560"/>
        <w:rPr>
          <w:rFonts w:hAnsi="Arial" w:eastAsia="华文仿宋" w:cs="Times New Roman"/>
        </w:rPr>
      </w:pPr>
      <w:r>
        <w:rPr>
          <w:rFonts w:hint="eastAsia" w:ascii="仿宋" w:hAnsi="仿宋" w:eastAsia="仿宋" w:cs="仿宋"/>
          <w:sz w:val="28"/>
          <w:szCs w:val="28"/>
        </w:rPr>
        <w:t>在十四五期间，龙岩市将继续依托福建紫金铜业有限公司铜板带加工能力，扩大对高精铜板带的生产规模，重点发展对应“新基地”为方向的电子通信产业链。重点发展生产锡磷青铜电子铜带热镀锡、加大铜镍硅、铜铬锆、铜钛及铜铁合金等高精铜板带的研究和生产，在扩大产能的基础上，开发和生产高精压延铜箔，在提高产品的附加值的同时，扩大在</w:t>
      </w:r>
      <w:r>
        <w:rPr>
          <w:rFonts w:ascii="仿宋" w:hAnsi="仿宋" w:eastAsia="仿宋" w:cs="仿宋"/>
          <w:sz w:val="28"/>
          <w:szCs w:val="28"/>
        </w:rPr>
        <w:t>5G</w:t>
      </w:r>
      <w:r>
        <w:rPr>
          <w:rFonts w:hint="eastAsia" w:ascii="仿宋" w:hAnsi="仿宋" w:eastAsia="仿宋" w:cs="仿宋"/>
          <w:sz w:val="28"/>
          <w:szCs w:val="28"/>
        </w:rPr>
        <w:t>电子通信领域的市场占有率；依托福建清景铜箔有限公司的先进生产技术，继续扩大生产规模，在扩大</w:t>
      </w:r>
      <w:r>
        <w:rPr>
          <w:rFonts w:ascii="仿宋" w:hAnsi="仿宋" w:eastAsia="仿宋" w:cs="仿宋"/>
          <w:sz w:val="28"/>
          <w:szCs w:val="28"/>
        </w:rPr>
        <w:t>6-8</w:t>
      </w:r>
      <w:r>
        <w:rPr>
          <w:rFonts w:hint="eastAsia" w:ascii="仿宋" w:hAnsi="仿宋" w:eastAsia="仿宋" w:cs="仿宋"/>
          <w:sz w:val="28"/>
          <w:szCs w:val="28"/>
        </w:rPr>
        <w:t>微米的市场占有率的同时，加大</w:t>
      </w:r>
      <w:r>
        <w:rPr>
          <w:rFonts w:ascii="仿宋" w:hAnsi="仿宋" w:eastAsia="仿宋" w:cs="仿宋"/>
          <w:sz w:val="28"/>
          <w:szCs w:val="28"/>
        </w:rPr>
        <w:t>4.5</w:t>
      </w:r>
      <w:r>
        <w:rPr>
          <w:rFonts w:hint="eastAsia" w:ascii="仿宋" w:hAnsi="仿宋" w:eastAsia="仿宋" w:cs="仿宋"/>
          <w:sz w:val="28"/>
          <w:szCs w:val="28"/>
        </w:rPr>
        <w:t>微米高精电解铜箔的产量；通过招商引资发展高纯磷铜球、高纯度铜溅射靶材、泡沫铜等电子通信产业链急需的新型导电材料。加大产业链延伸，重点发展覆铜板、挠性高密度互连多层印刷线路板、芯片电子封装、等多种电子产品，完成对电子信息产业领域产品的延伸，实现高端电子产品的生产。</w:t>
      </w:r>
    </w:p>
    <w:p>
      <w:pPr>
        <w:pStyle w:val="5"/>
        <w:spacing w:before="240" w:after="120" w:line="377" w:lineRule="auto"/>
        <w:rPr>
          <w:rFonts w:ascii="仿宋" w:hAnsi="仿宋" w:eastAsia="仿宋" w:cs="Times New Roman"/>
        </w:rPr>
      </w:pPr>
      <w:r>
        <w:rPr>
          <w:rFonts w:hint="eastAsia" w:ascii="仿宋" w:hAnsi="仿宋" w:eastAsia="仿宋" w:cs="仿宋"/>
        </w:rPr>
        <w:t>（</w:t>
      </w:r>
      <w:r>
        <w:rPr>
          <w:rFonts w:ascii="仿宋" w:hAnsi="仿宋" w:eastAsia="仿宋" w:cs="仿宋"/>
        </w:rPr>
        <w:t>3</w:t>
      </w:r>
      <w:r>
        <w:rPr>
          <w:rFonts w:hint="eastAsia" w:ascii="仿宋" w:hAnsi="仿宋" w:eastAsia="仿宋" w:cs="仿宋"/>
        </w:rPr>
        <w:t>）新能源智能交通产业链</w:t>
      </w:r>
    </w:p>
    <w:p>
      <w:pPr>
        <w:ind w:firstLine="560"/>
        <w:rPr>
          <w:rFonts w:ascii="仿宋" w:hAnsi="仿宋" w:eastAsia="仿宋" w:cs="Times New Roman"/>
          <w:sz w:val="28"/>
          <w:szCs w:val="28"/>
        </w:rPr>
      </w:pPr>
      <w:r>
        <w:rPr>
          <w:rFonts w:hint="eastAsia" w:ascii="仿宋" w:hAnsi="仿宋" w:eastAsia="仿宋" w:cs="仿宋"/>
          <w:sz w:val="28"/>
          <w:szCs w:val="28"/>
        </w:rPr>
        <w:t>依托福建金艺铜业有限公司、福建紫金铜业有限公司、福建清景铜箔有限公司、建润电子等企业生产的高精铜材，向汽车同步器齿环材料、汽车变速箱、汽车束线、电动马达、锂电池生产、电动汽车产业等下游产品延伸；依托龙岩市太阳铜业公司铜杆线，重点发展替代进口的新型铜镁、铜铬锆高铁接触线、承力索、电磁线、导环产品，向高铁用接触线、承力索和铁路动车组发电机等产业延伸；依托福建金艺铜业有限公司重点发展铜合金冷凝管生产，形成舰船用管道应用、海水淡化设备、海工装备等的铜管材供应。</w:t>
      </w:r>
    </w:p>
    <w:p>
      <w:pPr>
        <w:pStyle w:val="3"/>
        <w:rPr>
          <w:rFonts w:ascii="仿宋" w:hAnsi="仿宋" w:eastAsia="仿宋" w:cs="Times New Roman"/>
          <w:sz w:val="28"/>
          <w:szCs w:val="28"/>
        </w:rPr>
      </w:pPr>
      <w:bookmarkStart w:id="45" w:name="_Toc70684658"/>
      <w:r>
        <w:rPr>
          <w:rFonts w:hint="eastAsia" w:ascii="仿宋" w:hAnsi="仿宋" w:eastAsia="仿宋" w:cs="仿宋"/>
          <w:sz w:val="28"/>
          <w:szCs w:val="28"/>
        </w:rPr>
        <w:t>（二）金银等稀贵金属产业发展重点与建设项目</w:t>
      </w:r>
      <w:bookmarkEnd w:id="45"/>
    </w:p>
    <w:p>
      <w:pPr>
        <w:pStyle w:val="4"/>
        <w:spacing w:before="240" w:after="120" w:line="415" w:lineRule="auto"/>
        <w:rPr>
          <w:rFonts w:ascii="仿宋" w:hAnsi="仿宋" w:eastAsia="仿宋" w:cs="Times New Roman"/>
          <w:sz w:val="28"/>
          <w:szCs w:val="28"/>
        </w:rPr>
      </w:pPr>
      <w:bookmarkStart w:id="46" w:name="_Toc70684659"/>
      <w:r>
        <w:rPr>
          <w:rFonts w:ascii="仿宋" w:hAnsi="仿宋" w:eastAsia="仿宋" w:cs="仿宋"/>
          <w:sz w:val="28"/>
          <w:szCs w:val="28"/>
        </w:rPr>
        <w:t>1.</w:t>
      </w:r>
      <w:r>
        <w:rPr>
          <w:rFonts w:hint="eastAsia" w:ascii="仿宋" w:hAnsi="仿宋" w:eastAsia="仿宋" w:cs="仿宋"/>
          <w:sz w:val="28"/>
          <w:szCs w:val="28"/>
        </w:rPr>
        <w:t>黄金</w:t>
      </w:r>
      <w:bookmarkEnd w:id="46"/>
    </w:p>
    <w:p>
      <w:pPr>
        <w:spacing w:line="590" w:lineRule="exact"/>
        <w:ind w:firstLine="640"/>
        <w:rPr>
          <w:rFonts w:ascii="仿宋" w:hAnsi="仿宋" w:eastAsia="仿宋" w:cs="Times New Roman"/>
          <w:sz w:val="28"/>
          <w:szCs w:val="28"/>
        </w:rPr>
      </w:pPr>
      <w:r>
        <w:rPr>
          <w:rFonts w:hint="eastAsia" w:ascii="仿宋" w:hAnsi="仿宋" w:eastAsia="仿宋" w:cs="仿宋"/>
          <w:sz w:val="28"/>
          <w:szCs w:val="28"/>
        </w:rPr>
        <w:t>在传统应用领域，黄金重点发展黄金珠宝首饰、黄金化工行业（盐类产品）、黄金投资金条和金箔等产品。</w:t>
      </w:r>
    </w:p>
    <w:p>
      <w:pPr>
        <w:spacing w:line="590" w:lineRule="exact"/>
        <w:ind w:firstLine="640"/>
        <w:rPr>
          <w:rFonts w:ascii="仿宋" w:hAnsi="仿宋" w:eastAsia="仿宋" w:cs="Times New Roman"/>
          <w:sz w:val="28"/>
          <w:szCs w:val="28"/>
        </w:rPr>
      </w:pPr>
      <w:r>
        <w:rPr>
          <w:rFonts w:hint="eastAsia" w:ascii="仿宋" w:hAnsi="仿宋" w:eastAsia="仿宋" w:cs="仿宋"/>
          <w:b/>
          <w:bCs/>
          <w:sz w:val="28"/>
          <w:szCs w:val="28"/>
        </w:rPr>
        <w:t>黄金珠宝首饰</w:t>
      </w:r>
      <w:r>
        <w:rPr>
          <w:rFonts w:hint="eastAsia" w:ascii="仿宋" w:hAnsi="仿宋" w:eastAsia="仿宋" w:cs="仿宋"/>
          <w:sz w:val="28"/>
          <w:szCs w:val="28"/>
        </w:rPr>
        <w:t>：黄金珠宝首饰是黄金第一大消费应用领域。黄金首饰包括手镯、戒指、项链、耳环、手链等；黄金制品主要是有黄金制成的艺术品和工艺摆件等。龙岩市黄金珠宝首饰领域未来规划重点发展传统黄金首饰生产加工（争取国内商业银行金条委托加工业务），重点龙头企业要向集设计、生产和销售和品牌渠道等运营为一体的综合实力较强珠宝首饰企业转变。</w:t>
      </w:r>
    </w:p>
    <w:p>
      <w:pPr>
        <w:spacing w:line="590" w:lineRule="exact"/>
        <w:ind w:firstLine="640"/>
        <w:rPr>
          <w:rFonts w:ascii="仿宋" w:hAnsi="仿宋" w:eastAsia="仿宋" w:cs="Times New Roman"/>
          <w:sz w:val="28"/>
          <w:szCs w:val="28"/>
        </w:rPr>
      </w:pPr>
      <w:r>
        <w:rPr>
          <w:rFonts w:hint="eastAsia" w:ascii="仿宋" w:hAnsi="仿宋" w:eastAsia="仿宋" w:cs="仿宋"/>
          <w:b/>
          <w:bCs/>
          <w:sz w:val="28"/>
          <w:szCs w:val="28"/>
        </w:rPr>
        <w:t>黄金化工行业（盐类产品）</w:t>
      </w:r>
      <w:r>
        <w:rPr>
          <w:rFonts w:hint="eastAsia" w:ascii="仿宋" w:hAnsi="仿宋" w:eastAsia="仿宋" w:cs="仿宋"/>
          <w:sz w:val="28"/>
          <w:szCs w:val="28"/>
        </w:rPr>
        <w:t>：黄金白银化工行业产品主要有氰化亚金钾、亚硫酸金盐、氰化银钾</w:t>
      </w:r>
      <w:r>
        <w:rPr>
          <w:rFonts w:ascii="仿宋" w:hAnsi="仿宋" w:eastAsia="仿宋" w:cs="仿宋"/>
          <w:sz w:val="28"/>
          <w:szCs w:val="28"/>
        </w:rPr>
        <w:t>/</w:t>
      </w:r>
      <w:r>
        <w:rPr>
          <w:rFonts w:hint="eastAsia" w:ascii="仿宋" w:hAnsi="仿宋" w:eastAsia="仿宋" w:cs="仿宋"/>
          <w:sz w:val="28"/>
          <w:szCs w:val="28"/>
        </w:rPr>
        <w:t>氰化银等，这类材料属于贵金属电镀化工材料。工业镀金多应用于印制电路板、连接器、半导体器件等电子信息行业；装饰性镀金广泛应用于珠宝首饰、钟表、乐器、工艺品、五金零件等领域。除用于镀金外，氰化亚金钾也用于分析试剂和制药工业。黄金化工行业领域在考虑环境容量基础上，重点发展氰化亚金钾等产品。</w:t>
      </w:r>
    </w:p>
    <w:p>
      <w:pPr>
        <w:spacing w:line="590" w:lineRule="exact"/>
        <w:ind w:firstLine="640"/>
        <w:rPr>
          <w:rFonts w:ascii="仿宋" w:hAnsi="仿宋" w:eastAsia="仿宋" w:cs="Times New Roman"/>
          <w:sz w:val="28"/>
          <w:szCs w:val="28"/>
        </w:rPr>
      </w:pPr>
      <w:r>
        <w:rPr>
          <w:rFonts w:hint="eastAsia" w:ascii="仿宋" w:hAnsi="仿宋" w:eastAsia="仿宋" w:cs="仿宋"/>
          <w:b/>
          <w:bCs/>
          <w:sz w:val="28"/>
          <w:szCs w:val="28"/>
        </w:rPr>
        <w:t>黄金投资金条</w:t>
      </w:r>
      <w:r>
        <w:rPr>
          <w:rFonts w:hint="eastAsia" w:ascii="仿宋" w:hAnsi="仿宋" w:eastAsia="仿宋" w:cs="仿宋"/>
          <w:sz w:val="28"/>
          <w:szCs w:val="28"/>
        </w:rPr>
        <w:t>：金条是以标准金为原料加工制成不同规格、品类和图案的金条类产品，具有较高投资收藏价值。龙岩市未来可发展黄金企业投资金条（紫金金条）和个人投资小金条（商业银行金条委托加工）。</w:t>
      </w:r>
    </w:p>
    <w:p>
      <w:pPr>
        <w:spacing w:line="590" w:lineRule="exact"/>
        <w:ind w:firstLine="640"/>
        <w:rPr>
          <w:rFonts w:ascii="仿宋" w:hAnsi="仿宋" w:eastAsia="仿宋" w:cs="Times New Roman"/>
          <w:sz w:val="28"/>
          <w:szCs w:val="28"/>
        </w:rPr>
      </w:pPr>
      <w:r>
        <w:rPr>
          <w:rFonts w:hint="eastAsia" w:ascii="仿宋" w:hAnsi="仿宋" w:eastAsia="仿宋" w:cs="仿宋"/>
          <w:b/>
          <w:bCs/>
          <w:sz w:val="28"/>
          <w:szCs w:val="28"/>
        </w:rPr>
        <w:t>金箔</w:t>
      </w:r>
      <w:r>
        <w:rPr>
          <w:rFonts w:hint="eastAsia" w:ascii="仿宋" w:hAnsi="仿宋" w:eastAsia="仿宋" w:cs="仿宋"/>
          <w:sz w:val="28"/>
          <w:szCs w:val="28"/>
        </w:rPr>
        <w:t>：重点发展建筑等领域装饰金箔，与上杭县两大产业之一的建筑业结合。</w:t>
      </w:r>
    </w:p>
    <w:p>
      <w:pPr>
        <w:spacing w:line="590" w:lineRule="exact"/>
        <w:ind w:firstLine="640"/>
        <w:rPr>
          <w:rFonts w:ascii="仿宋" w:hAnsi="仿宋" w:eastAsia="仿宋" w:cs="Times New Roman"/>
          <w:sz w:val="28"/>
          <w:szCs w:val="28"/>
        </w:rPr>
      </w:pPr>
      <w:r>
        <w:rPr>
          <w:rFonts w:hint="eastAsia" w:ascii="仿宋" w:hAnsi="仿宋" w:eastAsia="仿宋" w:cs="仿宋"/>
          <w:sz w:val="28"/>
          <w:szCs w:val="28"/>
        </w:rPr>
        <w:t>新兴战略领域中，未来最具前景的黄金应用领域分别是：先进电子材料、工业催化剂、光学装饰材料和生物医药材料等。重点发展领域分别为电子专用材料：包括高性能靶材制造、键合金丝、金蒸发料等。并可尝试发展金基钎料、</w:t>
      </w:r>
      <w:r>
        <w:rPr>
          <w:rFonts w:ascii="仿宋" w:hAnsi="仿宋" w:eastAsia="仿宋" w:cs="仿宋"/>
          <w:sz w:val="28"/>
          <w:szCs w:val="28"/>
        </w:rPr>
        <w:t>Au/C</w:t>
      </w:r>
      <w:r>
        <w:rPr>
          <w:rFonts w:hint="eastAsia" w:ascii="仿宋" w:hAnsi="仿宋" w:eastAsia="仿宋" w:cs="仿宋"/>
          <w:sz w:val="28"/>
          <w:szCs w:val="28"/>
        </w:rPr>
        <w:t>纳米催化剂、</w:t>
      </w:r>
      <w:r>
        <w:rPr>
          <w:rFonts w:ascii="仿宋" w:hAnsi="仿宋" w:eastAsia="仿宋" w:cs="仿宋"/>
          <w:sz w:val="28"/>
          <w:szCs w:val="28"/>
        </w:rPr>
        <w:t>3D</w:t>
      </w:r>
      <w:r>
        <w:rPr>
          <w:rFonts w:hint="eastAsia" w:ascii="仿宋" w:hAnsi="仿宋" w:eastAsia="仿宋" w:cs="仿宋"/>
          <w:sz w:val="28"/>
          <w:szCs w:val="28"/>
        </w:rPr>
        <w:t>打印用材料、金薄膜材料、金基厚膜浆料、新型电接触贵金属材料等。</w:t>
      </w:r>
    </w:p>
    <w:p>
      <w:pPr>
        <w:spacing w:line="590" w:lineRule="exact"/>
        <w:ind w:firstLine="640"/>
        <w:rPr>
          <w:rFonts w:ascii="仿宋" w:hAnsi="仿宋" w:eastAsia="仿宋" w:cs="Times New Roman"/>
          <w:b/>
          <w:bCs/>
          <w:sz w:val="28"/>
          <w:szCs w:val="28"/>
        </w:rPr>
      </w:pPr>
      <w:r>
        <w:rPr>
          <w:rFonts w:ascii="仿宋" w:hAnsi="仿宋" w:eastAsia="仿宋" w:cs="仿宋"/>
          <w:b/>
          <w:bCs/>
          <w:sz w:val="28"/>
          <w:szCs w:val="28"/>
        </w:rPr>
        <w:t>——</w:t>
      </w:r>
      <w:r>
        <w:rPr>
          <w:rFonts w:hint="eastAsia" w:ascii="仿宋" w:hAnsi="仿宋" w:eastAsia="仿宋" w:cs="仿宋"/>
          <w:b/>
          <w:bCs/>
          <w:sz w:val="28"/>
          <w:szCs w:val="28"/>
        </w:rPr>
        <w:t>电子专用材料领域</w:t>
      </w:r>
    </w:p>
    <w:p>
      <w:pPr>
        <w:spacing w:line="590" w:lineRule="exact"/>
        <w:ind w:firstLine="640"/>
        <w:rPr>
          <w:rFonts w:ascii="仿宋" w:hAnsi="仿宋" w:eastAsia="仿宋" w:cs="Times New Roman"/>
          <w:sz w:val="28"/>
          <w:szCs w:val="28"/>
        </w:rPr>
      </w:pPr>
      <w:r>
        <w:rPr>
          <w:rFonts w:hint="eastAsia" w:ascii="仿宋" w:hAnsi="仿宋" w:eastAsia="仿宋" w:cs="仿宋"/>
          <w:b/>
          <w:bCs/>
          <w:sz w:val="28"/>
          <w:szCs w:val="28"/>
        </w:rPr>
        <w:t>键合金丝</w:t>
      </w:r>
      <w:r>
        <w:rPr>
          <w:rFonts w:hint="eastAsia" w:ascii="仿宋" w:hAnsi="仿宋" w:eastAsia="仿宋" w:cs="仿宋"/>
          <w:sz w:val="28"/>
          <w:szCs w:val="28"/>
        </w:rPr>
        <w:t>：黄金制成的键合金丝具有延展性好、导电性能佳、焊接速度快及可靠性高等特点，作为芯片与外部电路主要的连接材料广泛应用于微电子工业，是各类键合丝中使用最早、用量最大的一类；重点发展半导体封装和电子材料中封装与装联用元器件键合金丝。</w:t>
      </w:r>
    </w:p>
    <w:p>
      <w:pPr>
        <w:pStyle w:val="19"/>
        <w:spacing w:line="560" w:lineRule="exact"/>
        <w:ind w:firstLine="31680"/>
        <w:rPr>
          <w:rFonts w:ascii="仿宋" w:hAnsi="仿宋" w:eastAsia="仿宋" w:cs="Times New Roman"/>
          <w:sz w:val="28"/>
          <w:szCs w:val="28"/>
        </w:rPr>
      </w:pPr>
      <w:r>
        <w:rPr>
          <w:rFonts w:hint="eastAsia" w:ascii="仿宋" w:hAnsi="仿宋" w:eastAsia="仿宋" w:cs="仿宋"/>
          <w:b/>
          <w:bCs/>
          <w:sz w:val="28"/>
          <w:szCs w:val="28"/>
        </w:rPr>
        <w:t>金靶材</w:t>
      </w:r>
      <w:r>
        <w:rPr>
          <w:rFonts w:hint="eastAsia" w:ascii="仿宋" w:hAnsi="仿宋" w:eastAsia="仿宋" w:cs="仿宋"/>
          <w:sz w:val="28"/>
          <w:szCs w:val="28"/>
        </w:rPr>
        <w:t>：金靶材主要用于功率晶体管和微波器件等，而金锗等合金靶材主要用在电子、航天、仪表工业中用于溅射沉积点击布线导电膜、欧姆电接触膜等。重点发展半导体和电子元器件用金靶材。</w:t>
      </w:r>
    </w:p>
    <w:p>
      <w:pPr>
        <w:pStyle w:val="19"/>
        <w:spacing w:line="560" w:lineRule="exact"/>
        <w:ind w:firstLine="31680"/>
        <w:rPr>
          <w:rFonts w:ascii="仿宋" w:hAnsi="仿宋" w:eastAsia="仿宋" w:cs="Times New Roman"/>
          <w:sz w:val="28"/>
          <w:szCs w:val="28"/>
        </w:rPr>
      </w:pPr>
      <w:r>
        <w:rPr>
          <w:rFonts w:hint="eastAsia" w:ascii="仿宋" w:hAnsi="仿宋" w:eastAsia="仿宋" w:cs="仿宋"/>
          <w:b/>
          <w:bCs/>
          <w:sz w:val="28"/>
          <w:szCs w:val="28"/>
        </w:rPr>
        <w:t>金蒸发料</w:t>
      </w:r>
      <w:r>
        <w:rPr>
          <w:rFonts w:hint="eastAsia" w:ascii="仿宋" w:hAnsi="仿宋" w:eastAsia="仿宋" w:cs="仿宋"/>
          <w:sz w:val="28"/>
          <w:szCs w:val="28"/>
        </w:rPr>
        <w:t>：重点发展</w:t>
      </w:r>
      <w:r>
        <w:rPr>
          <w:rFonts w:ascii="仿宋" w:hAnsi="仿宋" w:eastAsia="仿宋" w:cs="仿宋"/>
          <w:sz w:val="28"/>
          <w:szCs w:val="28"/>
        </w:rPr>
        <w:t>LED</w:t>
      </w:r>
      <w:r>
        <w:rPr>
          <w:rFonts w:hint="eastAsia" w:ascii="仿宋" w:hAnsi="仿宋" w:eastAsia="仿宋" w:cs="仿宋"/>
          <w:sz w:val="28"/>
          <w:szCs w:val="28"/>
        </w:rPr>
        <w:t>照明等半导体元器件芯片用金蒸发料。</w:t>
      </w:r>
    </w:p>
    <w:p>
      <w:pPr>
        <w:spacing w:line="590" w:lineRule="exact"/>
        <w:ind w:firstLine="640"/>
        <w:rPr>
          <w:rFonts w:ascii="仿宋" w:hAnsi="仿宋" w:eastAsia="仿宋" w:cs="Times New Roman"/>
          <w:b/>
          <w:bCs/>
          <w:sz w:val="28"/>
          <w:szCs w:val="28"/>
        </w:rPr>
      </w:pPr>
      <w:r>
        <w:rPr>
          <w:rFonts w:ascii="仿宋" w:hAnsi="仿宋" w:eastAsia="仿宋" w:cs="仿宋"/>
          <w:b/>
          <w:bCs/>
          <w:sz w:val="28"/>
          <w:szCs w:val="28"/>
        </w:rPr>
        <w:t>——</w:t>
      </w:r>
      <w:r>
        <w:rPr>
          <w:rFonts w:hint="eastAsia" w:ascii="仿宋" w:hAnsi="仿宋" w:eastAsia="仿宋" w:cs="仿宋"/>
          <w:b/>
          <w:bCs/>
          <w:sz w:val="28"/>
          <w:szCs w:val="28"/>
        </w:rPr>
        <w:t>化学试剂和助剂等领域</w:t>
      </w:r>
    </w:p>
    <w:p>
      <w:pPr>
        <w:spacing w:line="540" w:lineRule="exact"/>
        <w:ind w:firstLine="31680" w:firstLineChars="200"/>
        <w:rPr>
          <w:rFonts w:ascii="仿宋" w:hAnsi="仿宋" w:eastAsia="仿宋" w:cs="Times New Roman"/>
          <w:sz w:val="28"/>
          <w:szCs w:val="28"/>
        </w:rPr>
      </w:pPr>
      <w:r>
        <w:rPr>
          <w:rFonts w:hint="eastAsia" w:ascii="仿宋" w:hAnsi="仿宋" w:eastAsia="仿宋" w:cs="仿宋"/>
          <w:sz w:val="28"/>
          <w:szCs w:val="28"/>
        </w:rPr>
        <w:t>近年来，随着纳米技术的扩展开发，纳米级黄金呈现出不同于大块黄金的诸多物理化学性质，从而可在工业催化、光学装饰和生物医药等领域大显身手。</w:t>
      </w:r>
    </w:p>
    <w:p>
      <w:pPr>
        <w:spacing w:line="540" w:lineRule="exact"/>
        <w:ind w:firstLine="31680" w:firstLineChars="200"/>
        <w:rPr>
          <w:rFonts w:ascii="仿宋" w:hAnsi="仿宋" w:eastAsia="仿宋" w:cs="Times New Roman"/>
          <w:sz w:val="28"/>
          <w:szCs w:val="28"/>
        </w:rPr>
      </w:pPr>
      <w:r>
        <w:rPr>
          <w:rFonts w:hint="eastAsia" w:ascii="仿宋" w:hAnsi="仿宋" w:eastAsia="仿宋" w:cs="仿宋"/>
          <w:sz w:val="28"/>
          <w:szCs w:val="28"/>
        </w:rPr>
        <w:t>金纳米催化剂的研制近几年成为热点之一，并取得快速发展。化学化工生产用金纳米催化剂，水煤气转化反应用金催化剂、以及纳米金银墨水（用于线路板印刷）、金纳米导电膜、医学和生物用金纳米材料的研究开发正在成为关注的热点。在环境污染治理领域，金催化剂可以用于空气净化、废水净化、汽车为其净化、办公室环境的臭氧消除、燃煤发电站污染物汞的氧化消除等。目前纳米金作为纳米医学领域的一个重要工具，以其独特的稳定的金属属性、表面活性高、比表面积大、生化和物化性质优异而成为国内外纳米医学领域的研究热点之一，纳米金常用于生物医学的生物制剂、生物标记检测、抗癌药物、疾病诊断及基因检测等。</w:t>
      </w:r>
    </w:p>
    <w:p>
      <w:pPr>
        <w:spacing w:line="540" w:lineRule="exact"/>
        <w:ind w:firstLine="31680" w:firstLineChars="200"/>
        <w:rPr>
          <w:rFonts w:ascii="仿宋" w:hAnsi="仿宋" w:eastAsia="仿宋" w:cs="Times New Roman"/>
          <w:sz w:val="28"/>
          <w:szCs w:val="28"/>
        </w:rPr>
      </w:pPr>
      <w:r>
        <w:rPr>
          <w:rFonts w:hint="eastAsia" w:ascii="仿宋" w:hAnsi="仿宋" w:eastAsia="仿宋" w:cs="仿宋"/>
          <w:sz w:val="28"/>
          <w:szCs w:val="28"/>
        </w:rPr>
        <w:t>中长期来看，围绕高端发展、创新发展、特色发展要求，瞄准高端，加快开发金、银、铂族金属等深加工系列产品，推进贵金属材料产品向下游延伸。在金基新材料领域，重点积极发展</w:t>
      </w:r>
      <w:r>
        <w:rPr>
          <w:rFonts w:ascii="仿宋" w:hAnsi="仿宋" w:eastAsia="仿宋" w:cs="仿宋"/>
          <w:sz w:val="28"/>
          <w:szCs w:val="28"/>
        </w:rPr>
        <w:t>Au/C</w:t>
      </w:r>
      <w:r>
        <w:rPr>
          <w:rFonts w:hint="eastAsia" w:ascii="仿宋" w:hAnsi="仿宋" w:eastAsia="仿宋" w:cs="仿宋"/>
          <w:sz w:val="28"/>
          <w:szCs w:val="28"/>
        </w:rPr>
        <w:t>催化剂、金基钎料等一批具有良好发展前景的金基新材料产品。</w:t>
      </w:r>
    </w:p>
    <w:p>
      <w:pPr>
        <w:pStyle w:val="4"/>
        <w:spacing w:before="240" w:after="120" w:line="415" w:lineRule="auto"/>
        <w:rPr>
          <w:rFonts w:ascii="仿宋" w:hAnsi="仿宋" w:eastAsia="仿宋" w:cs="Times New Roman"/>
          <w:sz w:val="28"/>
          <w:szCs w:val="28"/>
        </w:rPr>
      </w:pPr>
      <w:bookmarkStart w:id="47" w:name="_Toc70684660"/>
      <w:r>
        <w:rPr>
          <w:rFonts w:ascii="仿宋" w:hAnsi="仿宋" w:eastAsia="仿宋" w:cs="仿宋"/>
          <w:sz w:val="28"/>
          <w:szCs w:val="28"/>
        </w:rPr>
        <w:t>2.</w:t>
      </w:r>
      <w:r>
        <w:rPr>
          <w:rFonts w:hint="eastAsia" w:ascii="仿宋" w:hAnsi="仿宋" w:eastAsia="仿宋" w:cs="仿宋"/>
          <w:sz w:val="28"/>
          <w:szCs w:val="28"/>
        </w:rPr>
        <w:t>白银</w:t>
      </w:r>
      <w:bookmarkEnd w:id="47"/>
    </w:p>
    <w:p>
      <w:pPr>
        <w:spacing w:line="560" w:lineRule="exact"/>
        <w:ind w:firstLine="31680" w:firstLineChars="200"/>
        <w:rPr>
          <w:rFonts w:ascii="仿宋" w:hAnsi="仿宋" w:eastAsia="仿宋" w:cs="Times New Roman"/>
          <w:sz w:val="28"/>
          <w:szCs w:val="28"/>
        </w:rPr>
      </w:pPr>
      <w:r>
        <w:rPr>
          <w:rFonts w:hint="eastAsia" w:ascii="仿宋" w:hAnsi="仿宋" w:eastAsia="仿宋" w:cs="仿宋"/>
          <w:sz w:val="28"/>
          <w:szCs w:val="28"/>
        </w:rPr>
        <w:t>龙岩市白银产业经过前期的经营，已经有了良好的工业和首饰业的制造基础。“十四五”期间，可以考虑在继续发展现有传统项目的同时，寻找进入新兴市场的机会，开拓发展高质量新材料产业的渠道。另外，厦门是光电新材料的主要产业基地，可以借助区域优势，分享资源和政策。</w:t>
      </w:r>
    </w:p>
    <w:p>
      <w:pPr>
        <w:spacing w:line="560" w:lineRule="exact"/>
        <w:ind w:firstLine="31680" w:firstLineChars="200"/>
        <w:rPr>
          <w:rFonts w:ascii="仿宋" w:hAnsi="仿宋" w:eastAsia="仿宋" w:cs="Times New Roman"/>
          <w:sz w:val="28"/>
          <w:szCs w:val="28"/>
        </w:rPr>
      </w:pPr>
      <w:r>
        <w:rPr>
          <w:rFonts w:hint="eastAsia" w:ascii="仿宋" w:hAnsi="仿宋" w:eastAsia="仿宋" w:cs="仿宋"/>
          <w:b/>
          <w:bCs/>
          <w:sz w:val="28"/>
          <w:szCs w:val="28"/>
        </w:rPr>
        <w:t>重点发展的产业领域</w:t>
      </w:r>
      <w:r>
        <w:rPr>
          <w:rFonts w:hint="eastAsia" w:ascii="仿宋" w:hAnsi="仿宋" w:eastAsia="仿宋" w:cs="仿宋"/>
          <w:sz w:val="28"/>
          <w:szCs w:val="28"/>
        </w:rPr>
        <w:t>：新一代电子信息材料，生物医用材料，新能源材料，</w:t>
      </w:r>
      <w:r>
        <w:rPr>
          <w:rFonts w:ascii="仿宋" w:hAnsi="仿宋" w:eastAsia="仿宋" w:cs="仿宋"/>
          <w:sz w:val="28"/>
          <w:szCs w:val="28"/>
        </w:rPr>
        <w:t>5G</w:t>
      </w:r>
      <w:r>
        <w:rPr>
          <w:rFonts w:hint="eastAsia" w:ascii="仿宋" w:hAnsi="仿宋" w:eastAsia="仿宋" w:cs="仿宋"/>
          <w:sz w:val="28"/>
          <w:szCs w:val="28"/>
        </w:rPr>
        <w:t>、柔性显示等新兴方向的材料。</w:t>
      </w:r>
    </w:p>
    <w:p>
      <w:pPr>
        <w:spacing w:line="560" w:lineRule="exact"/>
        <w:ind w:firstLine="31680" w:firstLineChars="200"/>
        <w:rPr>
          <w:rFonts w:ascii="仿宋" w:hAnsi="仿宋" w:eastAsia="仿宋" w:cs="Times New Roman"/>
          <w:sz w:val="28"/>
          <w:szCs w:val="28"/>
        </w:rPr>
      </w:pPr>
      <w:r>
        <w:rPr>
          <w:rFonts w:hint="eastAsia" w:ascii="仿宋" w:hAnsi="仿宋" w:eastAsia="仿宋" w:cs="仿宋"/>
          <w:b/>
          <w:bCs/>
          <w:sz w:val="28"/>
          <w:szCs w:val="28"/>
        </w:rPr>
        <w:t>重点发展产品</w:t>
      </w:r>
      <w:r>
        <w:rPr>
          <w:rFonts w:hint="eastAsia" w:ascii="仿宋" w:hAnsi="仿宋" w:eastAsia="仿宋" w:cs="仿宋"/>
          <w:sz w:val="28"/>
          <w:szCs w:val="28"/>
        </w:rPr>
        <w:t>：银粉、银浆、银纳米材料、靶材等。</w:t>
      </w:r>
    </w:p>
    <w:p>
      <w:pPr>
        <w:spacing w:line="520" w:lineRule="exact"/>
        <w:ind w:firstLine="31680" w:firstLineChars="200"/>
        <w:rPr>
          <w:rFonts w:ascii="仿宋" w:hAnsi="仿宋" w:eastAsia="仿宋" w:cs="Times New Roman"/>
          <w:b/>
          <w:bCs/>
          <w:sz w:val="28"/>
          <w:szCs w:val="28"/>
        </w:rPr>
      </w:pPr>
      <w:r>
        <w:rPr>
          <w:rFonts w:hint="eastAsia" w:ascii="仿宋" w:hAnsi="仿宋" w:eastAsia="仿宋" w:cs="仿宋"/>
          <w:b/>
          <w:bCs/>
          <w:sz w:val="28"/>
          <w:szCs w:val="28"/>
        </w:rPr>
        <w:t>银粉银浆</w:t>
      </w:r>
      <w:r>
        <w:rPr>
          <w:rFonts w:hint="eastAsia" w:ascii="仿宋" w:hAnsi="仿宋" w:eastAsia="仿宋" w:cs="仿宋"/>
          <w:sz w:val="28"/>
          <w:szCs w:val="28"/>
        </w:rPr>
        <w:t>是目前白银加工产品中用量最大的品种；同时，也是高端及新兴产业中广泛应用的材料。</w:t>
      </w:r>
      <w:r>
        <w:rPr>
          <w:rFonts w:hint="eastAsia" w:hAnsi="Arial" w:eastAsia="华文仿宋" w:cs="华文仿宋"/>
          <w:sz w:val="28"/>
          <w:szCs w:val="28"/>
        </w:rPr>
        <w:t>银粉的品种很多，可以依据物理化学特性和市场需求进行不同分类，每一类别里又有不同的银粉应用于不同的方面。依据物理特性分类，银粉按照粒径，最大粒径小于</w:t>
      </w:r>
      <w:r>
        <w:rPr>
          <w:rFonts w:hAnsi="Arial" w:eastAsia="华文仿宋"/>
          <w:sz w:val="28"/>
          <w:szCs w:val="28"/>
        </w:rPr>
        <w:t>100nm</w:t>
      </w:r>
      <w:r>
        <w:rPr>
          <w:rFonts w:hint="eastAsia" w:hAnsi="Arial" w:eastAsia="华文仿宋" w:cs="华文仿宋"/>
          <w:sz w:val="28"/>
          <w:szCs w:val="28"/>
        </w:rPr>
        <w:t>（</w:t>
      </w:r>
      <w:r>
        <w:rPr>
          <w:rFonts w:hAnsi="Arial" w:eastAsia="华文仿宋"/>
          <w:sz w:val="28"/>
          <w:szCs w:val="28"/>
        </w:rPr>
        <w:t>0.1</w:t>
      </w:r>
      <w:r>
        <w:rPr>
          <w:rFonts w:hint="eastAsia" w:hAnsi="Arial" w:eastAsia="华文仿宋" w:cs="华文仿宋"/>
          <w:sz w:val="28"/>
          <w:szCs w:val="28"/>
        </w:rPr>
        <w:t>μ</w:t>
      </w:r>
      <w:r>
        <w:rPr>
          <w:rFonts w:hAnsi="Arial" w:eastAsia="华文仿宋"/>
          <w:sz w:val="28"/>
          <w:szCs w:val="28"/>
        </w:rPr>
        <w:t>m</w:t>
      </w:r>
      <w:r>
        <w:rPr>
          <w:rFonts w:hint="eastAsia" w:hAnsi="Arial" w:eastAsia="华文仿宋" w:cs="华文仿宋"/>
          <w:sz w:val="28"/>
          <w:szCs w:val="28"/>
        </w:rPr>
        <w:t>）为纳米银粉；平均粒径</w:t>
      </w:r>
      <w:r>
        <w:rPr>
          <w:rFonts w:hAnsi="Arial" w:eastAsia="华文仿宋"/>
          <w:sz w:val="28"/>
          <w:szCs w:val="28"/>
        </w:rPr>
        <w:t>0.1</w:t>
      </w:r>
      <w:r>
        <w:rPr>
          <w:rFonts w:hint="eastAsia" w:hAnsi="Arial" w:eastAsia="华文仿宋" w:cs="华文仿宋"/>
          <w:sz w:val="28"/>
          <w:szCs w:val="28"/>
        </w:rPr>
        <w:t>μ</w:t>
      </w:r>
      <w:r>
        <w:rPr>
          <w:rFonts w:hAnsi="Arial" w:eastAsia="华文仿宋"/>
          <w:sz w:val="28"/>
          <w:szCs w:val="28"/>
        </w:rPr>
        <w:t>m~10</w:t>
      </w:r>
      <w:r>
        <w:rPr>
          <w:rFonts w:hint="eastAsia" w:hAnsi="Arial" w:eastAsia="华文仿宋" w:cs="华文仿宋"/>
          <w:sz w:val="28"/>
          <w:szCs w:val="28"/>
        </w:rPr>
        <w:t>μ</w:t>
      </w:r>
      <w:r>
        <w:rPr>
          <w:rFonts w:hAnsi="Arial" w:eastAsia="华文仿宋"/>
          <w:sz w:val="28"/>
          <w:szCs w:val="28"/>
        </w:rPr>
        <w:t>m</w:t>
      </w:r>
      <w:r>
        <w:rPr>
          <w:rFonts w:hint="eastAsia" w:hAnsi="Arial" w:eastAsia="华文仿宋" w:cs="华文仿宋"/>
          <w:sz w:val="28"/>
          <w:szCs w:val="28"/>
        </w:rPr>
        <w:t>为银微粉；平均粒径大于</w:t>
      </w:r>
      <w:r>
        <w:rPr>
          <w:rFonts w:hAnsi="Arial" w:eastAsia="华文仿宋"/>
          <w:sz w:val="28"/>
          <w:szCs w:val="28"/>
        </w:rPr>
        <w:t>10</w:t>
      </w:r>
      <w:r>
        <w:rPr>
          <w:rFonts w:hint="eastAsia" w:hAnsi="Arial" w:eastAsia="华文仿宋" w:cs="华文仿宋"/>
          <w:sz w:val="28"/>
          <w:szCs w:val="28"/>
        </w:rPr>
        <w:t>μ</w:t>
      </w:r>
      <w:r>
        <w:rPr>
          <w:rFonts w:hAnsi="Arial" w:eastAsia="华文仿宋"/>
          <w:sz w:val="28"/>
          <w:szCs w:val="28"/>
        </w:rPr>
        <w:t>m</w:t>
      </w:r>
      <w:r>
        <w:rPr>
          <w:rFonts w:hint="eastAsia" w:hAnsi="Arial" w:eastAsia="华文仿宋" w:cs="华文仿宋"/>
          <w:sz w:val="28"/>
          <w:szCs w:val="28"/>
        </w:rPr>
        <w:t>为粗银粉，以上粒径为激光粒径。纳米银粉已部分用于厚膜导体浆料，主要作为抗菌和超低温热导材料使用；厚膜导体浆料和粉末冶金主要使用银微粉；粗银粉只能作为银合金基料，如触头材料的原料。银粉银浆</w:t>
      </w:r>
      <w:r>
        <w:rPr>
          <w:rFonts w:hint="eastAsia" w:ascii="仿宋" w:hAnsi="仿宋" w:eastAsia="仿宋" w:cs="仿宋"/>
          <w:sz w:val="28"/>
          <w:szCs w:val="28"/>
        </w:rPr>
        <w:t>最主要的应用领域是光伏行业、电子信息产业和</w:t>
      </w:r>
      <w:r>
        <w:rPr>
          <w:rFonts w:ascii="仿宋" w:hAnsi="仿宋" w:eastAsia="仿宋" w:cs="仿宋"/>
          <w:sz w:val="28"/>
          <w:szCs w:val="28"/>
        </w:rPr>
        <w:t>5G</w:t>
      </w:r>
      <w:r>
        <w:rPr>
          <w:rFonts w:hint="eastAsia" w:ascii="仿宋" w:hAnsi="仿宋" w:eastAsia="仿宋" w:cs="仿宋"/>
          <w:sz w:val="28"/>
          <w:szCs w:val="28"/>
        </w:rPr>
        <w:t>产业。</w:t>
      </w:r>
    </w:p>
    <w:p>
      <w:pPr>
        <w:spacing w:line="560" w:lineRule="exact"/>
        <w:ind w:firstLine="31680" w:firstLineChars="200"/>
        <w:rPr>
          <w:rFonts w:ascii="仿宋" w:hAnsi="仿宋" w:eastAsia="仿宋" w:cs="Times New Roman"/>
          <w:b/>
          <w:bCs/>
          <w:sz w:val="28"/>
          <w:szCs w:val="28"/>
        </w:rPr>
      </w:pPr>
      <w:r>
        <w:rPr>
          <w:rFonts w:ascii="仿宋" w:hAnsi="仿宋" w:eastAsia="仿宋" w:cs="仿宋"/>
          <w:b/>
          <w:bCs/>
          <w:sz w:val="28"/>
          <w:szCs w:val="28"/>
        </w:rPr>
        <w:t>5G</w:t>
      </w:r>
      <w:r>
        <w:rPr>
          <w:rFonts w:hint="eastAsia" w:ascii="仿宋" w:hAnsi="仿宋" w:eastAsia="仿宋" w:cs="仿宋"/>
          <w:b/>
          <w:bCs/>
          <w:sz w:val="28"/>
          <w:szCs w:val="28"/>
        </w:rPr>
        <w:t>产业</w:t>
      </w:r>
    </w:p>
    <w:p>
      <w:pPr>
        <w:spacing w:line="560" w:lineRule="exact"/>
        <w:ind w:firstLine="567"/>
        <w:rPr>
          <w:rFonts w:ascii="仿宋" w:hAnsi="仿宋" w:eastAsia="仿宋" w:cs="Times New Roman"/>
          <w:spacing w:val="4"/>
          <w:sz w:val="28"/>
          <w:szCs w:val="28"/>
        </w:rPr>
      </w:pPr>
      <w:r>
        <w:rPr>
          <w:rFonts w:hint="eastAsia" w:ascii="仿宋" w:hAnsi="仿宋" w:eastAsia="仿宋" w:cs="仿宋"/>
          <w:spacing w:val="4"/>
          <w:sz w:val="28"/>
          <w:szCs w:val="28"/>
        </w:rPr>
        <w:t>新基建各领域中，均可发现白银的应用，尤以</w:t>
      </w:r>
      <w:r>
        <w:rPr>
          <w:rFonts w:ascii="仿宋" w:hAnsi="仿宋" w:eastAsia="仿宋" w:cs="仿宋"/>
          <w:spacing w:val="4"/>
          <w:sz w:val="28"/>
          <w:szCs w:val="28"/>
        </w:rPr>
        <w:t>5G</w:t>
      </w:r>
      <w:r>
        <w:rPr>
          <w:rFonts w:hint="eastAsia" w:ascii="仿宋" w:hAnsi="仿宋" w:eastAsia="仿宋" w:cs="仿宋"/>
          <w:spacing w:val="4"/>
          <w:sz w:val="28"/>
          <w:szCs w:val="28"/>
        </w:rPr>
        <w:t>为最。</w:t>
      </w:r>
      <w:r>
        <w:rPr>
          <w:rFonts w:ascii="仿宋" w:hAnsi="仿宋" w:eastAsia="仿宋" w:cs="仿宋"/>
          <w:spacing w:val="4"/>
          <w:sz w:val="28"/>
          <w:szCs w:val="28"/>
        </w:rPr>
        <w:t>5G</w:t>
      </w:r>
      <w:r>
        <w:rPr>
          <w:rFonts w:hint="eastAsia" w:ascii="仿宋" w:hAnsi="仿宋" w:eastAsia="仿宋" w:cs="仿宋"/>
          <w:spacing w:val="4"/>
          <w:sz w:val="28"/>
          <w:szCs w:val="28"/>
        </w:rPr>
        <w:t>产业链需要的材料品种异常丰富，从金属材料、陶瓷材料、工程塑料、玻璃材料、复合材料到功能材料（导热、散热、电磁屏蔽、防水等），都有着巨大的市场空间。</w:t>
      </w:r>
    </w:p>
    <w:p>
      <w:pPr>
        <w:jc w:val="center"/>
        <w:rPr>
          <w:rFonts w:hAnsi="宋体" w:cs="Times New Roman"/>
          <w:sz w:val="24"/>
          <w:szCs w:val="24"/>
        </w:rPr>
      </w:pPr>
      <w:r>
        <w:rPr>
          <w:rFonts w:ascii="Calibri" w:hAnsi="宋体" w:eastAsia="宋体" w:cs="Times New Roman"/>
          <w:kern w:val="2"/>
          <w:sz w:val="24"/>
          <w:szCs w:val="24"/>
          <w:lang w:val="en-US" w:eastAsia="zh-CN" w:bidi="ar-SA"/>
        </w:rPr>
        <w:pict>
          <v:shape id="图片 1" o:spid="_x0000_s1034" type="#_x0000_t75" style="height:266.25pt;width:406.5pt;rotation:0f;" o:ole="f" fillcolor="#FFFFFF" filled="f" o:preferrelative="t" stroked="f" coordorigin="0,0" coordsize="21600,21600">
            <v:fill on="f" color2="#FFFFFF" focus="0%"/>
            <v:imagedata gain="65536f" blacklevel="0f" gamma="0" o:title="" r:id="rId14"/>
            <o:lock v:ext="edit" position="f" selection="f" grouping="f" rotation="f" cropping="f" text="f" aspectratio="t"/>
            <w10:wrap type="none"/>
            <w10:anchorlock/>
          </v:shape>
        </w:pict>
      </w:r>
    </w:p>
    <w:p>
      <w:pPr>
        <w:spacing w:afterLines="50"/>
        <w:jc w:val="center"/>
        <w:rPr>
          <w:rStyle w:val="16"/>
          <w:rFonts w:ascii="黑体" w:eastAsia="黑体" w:cs="Times New Roman"/>
          <w:b w:val="0"/>
          <w:bCs w:val="0"/>
        </w:rPr>
      </w:pPr>
      <w:r>
        <w:rPr>
          <w:rStyle w:val="16"/>
          <w:rFonts w:hint="eastAsia" w:ascii="黑体" w:eastAsia="黑体" w:cs="黑体"/>
          <w:b w:val="0"/>
          <w:bCs w:val="0"/>
        </w:rPr>
        <w:t>图</w:t>
      </w:r>
      <w:r>
        <w:rPr>
          <w:rStyle w:val="16"/>
          <w:rFonts w:ascii="黑体" w:eastAsia="黑体" w:cs="黑体"/>
          <w:b w:val="0"/>
          <w:bCs w:val="0"/>
        </w:rPr>
        <w:t>5-15</w:t>
      </w:r>
      <w:r>
        <w:rPr>
          <w:rStyle w:val="16"/>
          <w:rFonts w:ascii="黑体" w:hAnsi="黑体" w:eastAsia="黑体" w:cs="黑体"/>
          <w:b w:val="0"/>
          <w:bCs w:val="0"/>
        </w:rPr>
        <w:t xml:space="preserve">  5G</w:t>
      </w:r>
      <w:r>
        <w:rPr>
          <w:rStyle w:val="16"/>
          <w:rFonts w:hint="eastAsia" w:ascii="黑体" w:eastAsia="黑体" w:cs="黑体"/>
          <w:b w:val="0"/>
          <w:bCs w:val="0"/>
        </w:rPr>
        <w:t>关键材料及零部件产业链结构图</w:t>
      </w:r>
    </w:p>
    <w:p>
      <w:pPr>
        <w:spacing w:line="560" w:lineRule="exact"/>
        <w:ind w:firstLine="567"/>
        <w:rPr>
          <w:rFonts w:ascii="仿宋" w:hAnsi="仿宋" w:eastAsia="仿宋" w:cs="Times New Roman"/>
          <w:sz w:val="28"/>
          <w:szCs w:val="28"/>
        </w:rPr>
      </w:pPr>
      <w:r>
        <w:rPr>
          <w:rFonts w:hint="eastAsia" w:ascii="仿宋" w:hAnsi="仿宋" w:eastAsia="仿宋" w:cs="仿宋"/>
          <w:sz w:val="28"/>
          <w:szCs w:val="28"/>
        </w:rPr>
        <w:t>世界白银协会发表的一份报告称，银将成为</w:t>
      </w:r>
      <w:r>
        <w:rPr>
          <w:rFonts w:ascii="仿宋" w:hAnsi="仿宋" w:eastAsia="仿宋" w:cs="仿宋"/>
          <w:sz w:val="28"/>
          <w:szCs w:val="28"/>
        </w:rPr>
        <w:t>5G</w:t>
      </w:r>
      <w:r>
        <w:rPr>
          <w:rFonts w:hint="eastAsia" w:ascii="仿宋" w:hAnsi="仿宋" w:eastAsia="仿宋" w:cs="仿宋"/>
          <w:sz w:val="28"/>
          <w:szCs w:val="28"/>
        </w:rPr>
        <w:t>技术几乎所有方面的必要组成部分。</w:t>
      </w:r>
    </w:p>
    <w:p>
      <w:pPr>
        <w:spacing w:line="520" w:lineRule="exact"/>
        <w:ind w:firstLine="31680" w:firstLineChars="200"/>
        <w:rPr>
          <w:rFonts w:ascii="仿宋" w:hAnsi="仿宋" w:eastAsia="仿宋" w:cs="Times New Roman"/>
          <w:sz w:val="28"/>
          <w:szCs w:val="28"/>
        </w:rPr>
      </w:pPr>
      <w:r>
        <w:rPr>
          <w:rFonts w:hint="eastAsia" w:ascii="仿宋" w:hAnsi="仿宋" w:eastAsia="仿宋" w:cs="仿宋"/>
          <w:sz w:val="28"/>
          <w:szCs w:val="28"/>
        </w:rPr>
        <w:t>世界白银协会预计，目前全球与</w:t>
      </w:r>
      <w:r>
        <w:rPr>
          <w:rFonts w:ascii="仿宋" w:hAnsi="仿宋" w:eastAsia="仿宋" w:cs="仿宋"/>
          <w:sz w:val="28"/>
          <w:szCs w:val="28"/>
        </w:rPr>
        <w:t>5G</w:t>
      </w:r>
      <w:r>
        <w:rPr>
          <w:rFonts w:hint="eastAsia" w:ascii="仿宋" w:hAnsi="仿宋" w:eastAsia="仿宋" w:cs="仿宋"/>
          <w:sz w:val="28"/>
          <w:szCs w:val="28"/>
        </w:rPr>
        <w:t>相关的白银需求约为</w:t>
      </w:r>
      <w:r>
        <w:rPr>
          <w:rFonts w:ascii="仿宋" w:hAnsi="仿宋" w:eastAsia="仿宋" w:cs="仿宋"/>
          <w:sz w:val="28"/>
          <w:szCs w:val="28"/>
        </w:rPr>
        <w:t>233</w:t>
      </w:r>
      <w:r>
        <w:rPr>
          <w:rFonts w:hint="eastAsia" w:ascii="仿宋" w:hAnsi="仿宋" w:eastAsia="仿宋" w:cs="仿宋"/>
          <w:sz w:val="28"/>
          <w:szCs w:val="28"/>
        </w:rPr>
        <w:t>吨，但随着未来几年与</w:t>
      </w:r>
      <w:r>
        <w:rPr>
          <w:rFonts w:ascii="仿宋" w:hAnsi="仿宋" w:eastAsia="仿宋" w:cs="仿宋"/>
          <w:sz w:val="28"/>
          <w:szCs w:val="28"/>
        </w:rPr>
        <w:t>5G</w:t>
      </w:r>
      <w:r>
        <w:rPr>
          <w:rFonts w:hint="eastAsia" w:ascii="仿宋" w:hAnsi="仿宋" w:eastAsia="仿宋" w:cs="仿宋"/>
          <w:sz w:val="28"/>
          <w:szCs w:val="28"/>
        </w:rPr>
        <w:t>相关的各领域需求的增加，到</w:t>
      </w:r>
      <w:r>
        <w:rPr>
          <w:rFonts w:ascii="仿宋" w:hAnsi="仿宋" w:eastAsia="仿宋" w:cs="仿宋"/>
          <w:sz w:val="28"/>
          <w:szCs w:val="28"/>
        </w:rPr>
        <w:t>2030</w:t>
      </w:r>
      <w:r>
        <w:rPr>
          <w:rFonts w:hint="eastAsia" w:ascii="仿宋" w:hAnsi="仿宋" w:eastAsia="仿宋" w:cs="仿宋"/>
          <w:sz w:val="28"/>
          <w:szCs w:val="28"/>
        </w:rPr>
        <w:t>年白银需求将增加到</w:t>
      </w:r>
      <w:r>
        <w:rPr>
          <w:rFonts w:ascii="仿宋" w:hAnsi="仿宋" w:eastAsia="仿宋" w:cs="仿宋"/>
          <w:sz w:val="28"/>
          <w:szCs w:val="28"/>
        </w:rPr>
        <w:t>715</w:t>
      </w:r>
      <w:r>
        <w:rPr>
          <w:rFonts w:hint="eastAsia" w:ascii="仿宋" w:hAnsi="仿宋" w:eastAsia="仿宋" w:cs="仿宋"/>
          <w:sz w:val="28"/>
          <w:szCs w:val="28"/>
        </w:rPr>
        <w:t>吨。</w:t>
      </w:r>
    </w:p>
    <w:p>
      <w:pPr>
        <w:spacing w:line="560" w:lineRule="exact"/>
        <w:ind w:firstLine="31680" w:firstLineChars="200"/>
        <w:rPr>
          <w:rFonts w:ascii="仿宋" w:hAnsi="仿宋" w:eastAsia="仿宋" w:cs="Times New Roman"/>
          <w:sz w:val="28"/>
          <w:szCs w:val="28"/>
        </w:rPr>
      </w:pPr>
      <w:r>
        <w:rPr>
          <w:rFonts w:hint="eastAsia" w:ascii="仿宋" w:hAnsi="仿宋" w:eastAsia="仿宋" w:cs="仿宋"/>
          <w:sz w:val="28"/>
          <w:szCs w:val="28"/>
        </w:rPr>
        <w:t>据安泰科统计，</w:t>
      </w:r>
      <w:r>
        <w:rPr>
          <w:rFonts w:ascii="仿宋" w:hAnsi="仿宋" w:eastAsia="仿宋" w:cs="仿宋"/>
          <w:sz w:val="28"/>
          <w:szCs w:val="28"/>
        </w:rPr>
        <w:t>2020</w:t>
      </w:r>
      <w:r>
        <w:rPr>
          <w:rFonts w:hint="eastAsia" w:ascii="仿宋" w:hAnsi="仿宋" w:eastAsia="仿宋" w:cs="仿宋"/>
          <w:sz w:val="28"/>
          <w:szCs w:val="28"/>
        </w:rPr>
        <w:t>年国内</w:t>
      </w:r>
      <w:r>
        <w:rPr>
          <w:rFonts w:ascii="仿宋" w:hAnsi="仿宋" w:eastAsia="仿宋" w:cs="仿宋"/>
          <w:sz w:val="28"/>
          <w:szCs w:val="28"/>
        </w:rPr>
        <w:t>5G</w:t>
      </w:r>
      <w:r>
        <w:rPr>
          <w:rFonts w:hint="eastAsia" w:ascii="仿宋" w:hAnsi="仿宋" w:eastAsia="仿宋" w:cs="仿宋"/>
          <w:sz w:val="28"/>
          <w:szCs w:val="28"/>
        </w:rPr>
        <w:t>滤波器用银粉为</w:t>
      </w:r>
      <w:r>
        <w:rPr>
          <w:rFonts w:ascii="仿宋" w:hAnsi="仿宋" w:eastAsia="仿宋" w:cs="仿宋"/>
          <w:sz w:val="28"/>
          <w:szCs w:val="28"/>
        </w:rPr>
        <w:t>96</w:t>
      </w:r>
      <w:r>
        <w:rPr>
          <w:rFonts w:hint="eastAsia" w:ascii="仿宋" w:hAnsi="仿宋" w:eastAsia="仿宋" w:cs="仿宋"/>
          <w:sz w:val="28"/>
          <w:szCs w:val="28"/>
        </w:rPr>
        <w:t>吨</w:t>
      </w:r>
      <w:r>
        <w:rPr>
          <w:rFonts w:ascii="仿宋" w:hAnsi="仿宋" w:eastAsia="仿宋" w:cs="仿宋"/>
          <w:sz w:val="28"/>
          <w:szCs w:val="28"/>
        </w:rPr>
        <w:t>.</w:t>
      </w:r>
      <w:r>
        <w:rPr>
          <w:rFonts w:hint="eastAsia" w:ascii="仿宋" w:hAnsi="仿宋" w:eastAsia="仿宋" w:cs="仿宋"/>
          <w:sz w:val="28"/>
          <w:szCs w:val="28"/>
        </w:rPr>
        <w:t>预计</w:t>
      </w:r>
      <w:r>
        <w:rPr>
          <w:rFonts w:ascii="仿宋" w:hAnsi="仿宋" w:eastAsia="仿宋" w:cs="仿宋"/>
          <w:sz w:val="28"/>
          <w:szCs w:val="28"/>
        </w:rPr>
        <w:t>2021-2023</w:t>
      </w:r>
      <w:r>
        <w:rPr>
          <w:rFonts w:hint="eastAsia" w:ascii="仿宋" w:hAnsi="仿宋" w:eastAsia="仿宋" w:cs="仿宋"/>
          <w:sz w:val="28"/>
          <w:szCs w:val="28"/>
        </w:rPr>
        <w:t>年间，</w:t>
      </w:r>
      <w:r>
        <w:rPr>
          <w:rFonts w:ascii="仿宋" w:hAnsi="仿宋" w:eastAsia="仿宋" w:cs="仿宋"/>
          <w:sz w:val="28"/>
          <w:szCs w:val="28"/>
        </w:rPr>
        <w:t>5G</w:t>
      </w:r>
      <w:r>
        <w:rPr>
          <w:rFonts w:hint="eastAsia" w:ascii="仿宋" w:hAnsi="仿宋" w:eastAsia="仿宋" w:cs="仿宋"/>
          <w:sz w:val="28"/>
          <w:szCs w:val="28"/>
        </w:rPr>
        <w:t>滤波器用银粉消费量将达到峰值期；此后，随着建设的逐渐完成，用量下降。</w:t>
      </w:r>
    </w:p>
    <w:p>
      <w:pPr>
        <w:spacing w:beforeLines="50"/>
        <w:jc w:val="center"/>
        <w:rPr>
          <w:rFonts w:ascii="黑体" w:hAnsi="黑体" w:eastAsia="黑体" w:cs="Times New Roman"/>
        </w:rPr>
      </w:pPr>
      <w:r>
        <w:rPr>
          <w:rFonts w:hint="eastAsia" w:ascii="黑体" w:hAnsi="黑体" w:eastAsia="黑体" w:cs="黑体"/>
        </w:rPr>
        <w:t>表</w:t>
      </w:r>
      <w:r>
        <w:rPr>
          <w:rFonts w:ascii="黑体" w:hAnsi="黑体" w:eastAsia="黑体" w:cs="黑体"/>
        </w:rPr>
        <w:t xml:space="preserve">5-6  </w:t>
      </w:r>
      <w:r>
        <w:rPr>
          <w:rFonts w:hint="eastAsia" w:ascii="黑体" w:hAnsi="黑体" w:eastAsia="黑体" w:cs="黑体"/>
        </w:rPr>
        <w:t>不同电子市场中的银应用</w:t>
      </w:r>
      <w:r>
        <w:rPr>
          <w:rFonts w:ascii="黑体" w:hAnsi="黑体" w:eastAsia="黑体" w:cs="黑体"/>
        </w:rPr>
        <w:t xml:space="preserve">  </w:t>
      </w:r>
      <w:r>
        <w:rPr>
          <w:rFonts w:hint="eastAsia" w:ascii="黑体" w:hAnsi="黑体" w:eastAsia="黑体" w:cs="黑体"/>
        </w:rPr>
        <w:t>单位：美元</w:t>
      </w:r>
    </w:p>
    <w:p>
      <w:pPr>
        <w:jc w:val="center"/>
        <w:rPr>
          <w:rFonts w:cs="Times New Roman"/>
          <w:color w:val="FF0000"/>
          <w:sz w:val="24"/>
          <w:szCs w:val="24"/>
        </w:rPr>
      </w:pPr>
      <w:r>
        <w:rPr>
          <w:rFonts w:ascii="Calibri" w:hAnsi="Calibri" w:eastAsia="宋体" w:cs="Times New Roman"/>
          <w:color w:val="FF0000"/>
          <w:kern w:val="2"/>
          <w:sz w:val="24"/>
          <w:szCs w:val="24"/>
          <w:lang w:val="en-US" w:eastAsia="zh-CN" w:bidi="ar-SA"/>
        </w:rPr>
        <w:pict>
          <v:shape id="图片 13" o:spid="_x0000_s1035" type="#_x0000_t75" style="height:206.25pt;width:411.75pt;rotation:0f;" o:ole="f" fillcolor="#FFFFFF" filled="f" o:preferrelative="t" stroked="f" coordorigin="0,0" coordsize="21600,21600">
            <v:fill on="f" color2="#FFFFFF" focus="0%"/>
            <v:imagedata gain="65536f" blacklevel="0f" gamma="0" o:title="" r:id="rId15"/>
            <o:lock v:ext="edit" position="f" selection="f" grouping="f" rotation="f" cropping="f" text="f" aspectratio="t"/>
            <w10:wrap type="none"/>
            <w10:anchorlock/>
          </v:shape>
        </w:pict>
      </w:r>
    </w:p>
    <w:p>
      <w:pPr>
        <w:ind w:firstLine="31680" w:firstLineChars="100"/>
        <w:rPr>
          <w:rFonts w:ascii="华文楷体" w:hAnsi="华文楷体" w:eastAsia="华文楷体" w:cs="Times New Roman"/>
        </w:rPr>
      </w:pPr>
      <w:r>
        <w:rPr>
          <w:rFonts w:hint="eastAsia" w:ascii="华文楷体" w:hAnsi="华文楷体" w:eastAsia="华文楷体" w:cs="华文楷体"/>
        </w:rPr>
        <w:t>注：深绿色表示强劲增长，浅绿色表示中到低程度增长</w:t>
      </w:r>
    </w:p>
    <w:p>
      <w:pPr>
        <w:ind w:firstLine="31680" w:firstLineChars="100"/>
        <w:rPr>
          <w:rFonts w:ascii="华文楷体" w:hAnsi="华文楷体" w:eastAsia="华文楷体" w:cs="华文楷体"/>
        </w:rPr>
      </w:pPr>
      <w:r>
        <w:rPr>
          <w:rFonts w:hint="eastAsia" w:ascii="华文楷体" w:hAnsi="华文楷体" w:eastAsia="华文楷体" w:cs="华文楷体"/>
        </w:rPr>
        <w:t>资料来源：</w:t>
      </w:r>
      <w:r>
        <w:rPr>
          <w:rFonts w:ascii="华文楷体" w:hAnsi="华文楷体" w:eastAsia="华文楷体" w:cs="华文楷体"/>
        </w:rPr>
        <w:t>Precious Metals Commodity Management LLC</w:t>
      </w:r>
    </w:p>
    <w:p>
      <w:pPr>
        <w:ind w:firstLine="31680" w:firstLineChars="100"/>
        <w:rPr>
          <w:rFonts w:ascii="华文楷体" w:hAnsi="华文楷体" w:eastAsia="华文楷体" w:cs="Times New Roman"/>
        </w:rPr>
      </w:pPr>
    </w:p>
    <w:p>
      <w:pPr>
        <w:jc w:val="center"/>
        <w:rPr>
          <w:rFonts w:cs="Times New Roman"/>
          <w:color w:val="FF0000"/>
          <w:sz w:val="24"/>
          <w:szCs w:val="24"/>
        </w:rPr>
      </w:pPr>
      <w:r>
        <w:rPr>
          <w:rFonts w:ascii="Calibri" w:hAnsi="Calibri" w:eastAsia="宋体" w:cs="Times New Roman"/>
          <w:color w:val="FF0000"/>
          <w:kern w:val="2"/>
          <w:sz w:val="24"/>
          <w:szCs w:val="24"/>
          <w:lang w:val="en-US" w:eastAsia="zh-CN" w:bidi="ar-SA"/>
        </w:rPr>
        <w:pict>
          <v:shape id="_x0000_i1028" o:spid="_x0000_s1036" type="#_x0000_t75" style="height:155.25pt;width:293.25pt;rotation:0f;" o:ole="f" fillcolor="#FFFFFF" filled="f" o:preferrelative="t" stroked="f" coordorigin="0,0" coordsize="21600,21600">
            <v:fill on="f" color2="#FFFFFF" focus="0%"/>
            <v:imagedata gain="65536f" blacklevel="0f" gamma="0" o:title="" r:id="rId16"/>
            <o:lock v:ext="edit" position="f" selection="f" grouping="f" rotation="f" cropping="f" text="f" aspectratio="t"/>
            <w10:wrap type="none"/>
            <w10:anchorlock/>
          </v:shape>
        </w:pict>
      </w:r>
    </w:p>
    <w:p>
      <w:pPr>
        <w:tabs>
          <w:tab w:val="center" w:pos="4153"/>
        </w:tabs>
        <w:jc w:val="left"/>
        <w:rPr>
          <w:rFonts w:hAnsi="宋体" w:cs="Times New Roman"/>
          <w:sz w:val="20"/>
          <w:szCs w:val="20"/>
        </w:rPr>
      </w:pPr>
      <w:r>
        <w:rPr>
          <w:rFonts w:ascii="华文楷体" w:hAnsi="华文楷体" w:eastAsia="华文楷体" w:cs="Times New Roman"/>
          <w:sz w:val="20"/>
          <w:szCs w:val="20"/>
        </w:rPr>
        <w:tab/>
      </w:r>
      <w:r>
        <w:rPr>
          <w:rFonts w:hint="eastAsia" w:ascii="华文楷体" w:hAnsi="华文楷体" w:eastAsia="华文楷体" w:cs="华文楷体"/>
          <w:sz w:val="20"/>
          <w:szCs w:val="20"/>
        </w:rPr>
        <w:t>资料来源：</w:t>
      </w:r>
      <w:r>
        <w:rPr>
          <w:rFonts w:ascii="华文楷体" w:hAnsi="华文楷体" w:eastAsia="华文楷体" w:cs="华文楷体"/>
          <w:sz w:val="20"/>
          <w:szCs w:val="20"/>
        </w:rPr>
        <w:t>Precious Metals Commodity Management LLC</w:t>
      </w:r>
    </w:p>
    <w:p>
      <w:pPr>
        <w:spacing w:afterLines="50"/>
        <w:jc w:val="center"/>
        <w:rPr>
          <w:rStyle w:val="16"/>
          <w:rFonts w:ascii="黑体" w:eastAsia="黑体" w:cs="Times New Roman"/>
          <w:b w:val="0"/>
          <w:bCs w:val="0"/>
        </w:rPr>
      </w:pPr>
      <w:r>
        <w:rPr>
          <w:rStyle w:val="16"/>
          <w:rFonts w:hint="eastAsia" w:ascii="黑体" w:eastAsia="黑体" w:cs="黑体"/>
          <w:b w:val="0"/>
          <w:bCs w:val="0"/>
        </w:rPr>
        <w:t>图</w:t>
      </w:r>
      <w:r>
        <w:rPr>
          <w:rStyle w:val="16"/>
          <w:rFonts w:ascii="黑体" w:eastAsia="黑体" w:cs="黑体"/>
          <w:b w:val="0"/>
          <w:bCs w:val="0"/>
        </w:rPr>
        <w:t>5-16  5G</w:t>
      </w:r>
      <w:r>
        <w:rPr>
          <w:rStyle w:val="16"/>
          <w:rFonts w:hint="eastAsia" w:ascii="黑体" w:eastAsia="黑体" w:cs="黑体"/>
          <w:b w:val="0"/>
          <w:bCs w:val="0"/>
        </w:rPr>
        <w:t>市场的银需求</w:t>
      </w:r>
    </w:p>
    <w:p>
      <w:pPr>
        <w:spacing w:line="520" w:lineRule="exact"/>
        <w:ind w:firstLine="31680" w:firstLineChars="200"/>
        <w:rPr>
          <w:rFonts w:hAnsi="Arial" w:eastAsia="华文仿宋" w:cs="Times New Roman"/>
          <w:sz w:val="28"/>
          <w:szCs w:val="28"/>
        </w:rPr>
      </w:pPr>
      <w:r>
        <w:rPr>
          <w:rFonts w:hint="eastAsia" w:hAnsi="Arial" w:eastAsia="华文仿宋" w:cs="华文仿宋"/>
          <w:sz w:val="28"/>
          <w:szCs w:val="28"/>
        </w:rPr>
        <w:t>随着电子工业的发展，在市场需求的推动下，银导电浆料和银粉市场得到长足的发展。大部分银导体浆料已全部采用了国产银粉，少数特殊高端产品由国外公司或国内外资公司生产，大部分还用着进口银粉。电气行业用的银粉相对而言银粉技术要求不高，已全部实现国产化。光伏行业的发展壮大，为银粉银浆开辟了新的应用领域。该领域中银的用量迅速提高，成为白银重要的消费领域。</w:t>
      </w:r>
    </w:p>
    <w:p>
      <w:pPr>
        <w:spacing w:line="520" w:lineRule="exact"/>
        <w:ind w:firstLine="31680" w:firstLineChars="200"/>
        <w:rPr>
          <w:rFonts w:ascii="仿宋" w:hAnsi="仿宋" w:eastAsia="仿宋" w:cs="Times New Roman"/>
          <w:sz w:val="28"/>
          <w:szCs w:val="28"/>
        </w:rPr>
      </w:pPr>
    </w:p>
    <w:p>
      <w:pPr>
        <w:spacing w:line="560" w:lineRule="exact"/>
        <w:ind w:firstLine="31680" w:firstLineChars="200"/>
        <w:rPr>
          <w:rFonts w:ascii="仿宋" w:hAnsi="仿宋" w:eastAsia="仿宋" w:cs="Times New Roman"/>
          <w:b/>
          <w:bCs/>
          <w:sz w:val="28"/>
          <w:szCs w:val="28"/>
        </w:rPr>
      </w:pPr>
      <w:r>
        <w:rPr>
          <w:rFonts w:hint="eastAsia" w:ascii="仿宋" w:hAnsi="仿宋" w:eastAsia="仿宋" w:cs="仿宋"/>
          <w:b/>
          <w:bCs/>
          <w:sz w:val="28"/>
          <w:szCs w:val="28"/>
        </w:rPr>
        <w:t>靶材</w:t>
      </w:r>
    </w:p>
    <w:p>
      <w:pPr>
        <w:spacing w:line="520" w:lineRule="exact"/>
        <w:ind w:firstLine="31680" w:firstLineChars="200"/>
        <w:rPr>
          <w:rFonts w:ascii="仿宋" w:hAnsi="仿宋" w:eastAsia="仿宋" w:cs="Times New Roman"/>
          <w:sz w:val="28"/>
          <w:szCs w:val="28"/>
        </w:rPr>
      </w:pPr>
      <w:r>
        <w:rPr>
          <w:rFonts w:hint="eastAsia" w:ascii="仿宋" w:hAnsi="仿宋" w:eastAsia="仿宋" w:cs="仿宋"/>
          <w:sz w:val="28"/>
          <w:szCs w:val="28"/>
        </w:rPr>
        <w:t>靶材，特别是高纯度溅射靶材应用于电子元器件制造的物理气相沉积工艺，是制备晶圆、面板、太阳能电池等表面电子薄膜的关键材料。按应用分类，对靶材用量较大的行业主要有半导体集成电路、平板显示器、太阳能电池、磁记录介质、光学器件等。其中，高纯度溅射靶材主要用于对材料纯度、稳定性要求更高的领域，如半导体、平板显示器、太阳能电池、磁记录介质等。高纯度溅射靶材是伴随半导体工业的发展而兴起的，集成电路产业是目前高纯溅射靶材的主要应用领域之一，其制造环节技术门槛高、设备投资大，在溅射靶材产业链各环节的企业数量呈现金字塔型分布。半导体溅射靶材行业集中度很高，前五大厂商占比超过</w:t>
      </w:r>
      <w:r>
        <w:rPr>
          <w:rFonts w:ascii="仿宋" w:hAnsi="仿宋" w:eastAsia="仿宋" w:cs="仿宋"/>
          <w:sz w:val="28"/>
          <w:szCs w:val="28"/>
        </w:rPr>
        <w:t>80%</w:t>
      </w:r>
      <w:r>
        <w:rPr>
          <w:rFonts w:hint="eastAsia" w:ascii="仿宋" w:hAnsi="仿宋" w:eastAsia="仿宋" w:cs="仿宋"/>
          <w:sz w:val="28"/>
          <w:szCs w:val="28"/>
        </w:rPr>
        <w:t>。具有规模化生产能力的企业数量相对较少，主要分布在美国、日本等国家和地区。</w:t>
      </w:r>
    </w:p>
    <w:p>
      <w:pPr>
        <w:spacing w:line="520" w:lineRule="exact"/>
        <w:ind w:firstLine="31680" w:firstLineChars="200"/>
        <w:rPr>
          <w:rFonts w:ascii="仿宋" w:hAnsi="仿宋" w:eastAsia="仿宋" w:cs="Times New Roman"/>
          <w:sz w:val="28"/>
          <w:szCs w:val="28"/>
        </w:rPr>
      </w:pPr>
      <w:r>
        <w:rPr>
          <w:rFonts w:hint="eastAsia" w:ascii="仿宋" w:hAnsi="仿宋" w:eastAsia="仿宋" w:cs="仿宋"/>
          <w:sz w:val="28"/>
          <w:szCs w:val="28"/>
        </w:rPr>
        <w:t>溅射靶材产业链主要包括金属提纯、靶材制造、溅射镀膜和终端应用等环节。</w:t>
      </w:r>
    </w:p>
    <w:p>
      <w:pPr>
        <w:jc w:val="center"/>
        <w:rPr>
          <w:rFonts w:hAnsi="宋体" w:cs="Times New Roman"/>
          <w:sz w:val="24"/>
          <w:szCs w:val="24"/>
        </w:rPr>
      </w:pPr>
      <w:r>
        <w:rPr>
          <w:rFonts w:ascii="Calibri" w:hAnsi="宋体" w:eastAsia="宋体" w:cs="Times New Roman"/>
          <w:kern w:val="2"/>
          <w:sz w:val="24"/>
          <w:szCs w:val="24"/>
          <w:lang w:val="en-US" w:eastAsia="zh-CN" w:bidi="ar-SA"/>
        </w:rPr>
        <w:pict>
          <v:shape id="图片 4" o:spid="_x0000_s1037" type="#_x0000_t75" style="height:267pt;width:354.75pt;rotation:0f;" o:ole="f" fillcolor="#FFFFFF" filled="f" o:preferrelative="t" stroked="f" coordorigin="0,0" coordsize="21600,21600">
            <v:fill on="f" color2="#FFFFFF" focus="0%"/>
            <v:imagedata gain="65536f" blacklevel="0f" gamma="0" o:title="" r:id="rId17"/>
            <o:lock v:ext="edit" position="f" selection="f" grouping="f" rotation="f" cropping="f" text="f" aspectratio="t"/>
            <w10:wrap type="none"/>
            <w10:anchorlock/>
          </v:shape>
        </w:pict>
      </w:r>
    </w:p>
    <w:p>
      <w:pPr>
        <w:spacing w:afterLines="50"/>
        <w:jc w:val="center"/>
        <w:rPr>
          <w:rStyle w:val="16"/>
          <w:rFonts w:ascii="黑体" w:eastAsia="黑体" w:cs="黑体"/>
          <w:b w:val="0"/>
          <w:bCs w:val="0"/>
        </w:rPr>
      </w:pPr>
      <w:r>
        <w:rPr>
          <w:rStyle w:val="16"/>
          <w:rFonts w:hint="eastAsia" w:ascii="黑体" w:eastAsia="黑体" w:cs="黑体"/>
          <w:b w:val="0"/>
          <w:bCs w:val="0"/>
        </w:rPr>
        <w:t>图</w:t>
      </w:r>
      <w:r>
        <w:rPr>
          <w:rStyle w:val="16"/>
          <w:rFonts w:ascii="黑体" w:eastAsia="黑体" w:cs="黑体"/>
          <w:b w:val="0"/>
          <w:bCs w:val="0"/>
        </w:rPr>
        <w:t xml:space="preserve">5-17  </w:t>
      </w:r>
      <w:r>
        <w:rPr>
          <w:rStyle w:val="16"/>
          <w:rFonts w:hint="eastAsia" w:ascii="黑体" w:eastAsia="黑体" w:cs="黑体"/>
          <w:b w:val="0"/>
          <w:bCs w:val="0"/>
        </w:rPr>
        <w:t>靶材种类</w:t>
      </w:r>
      <w:r>
        <w:rPr>
          <w:rStyle w:val="16"/>
          <w:rFonts w:ascii="黑体" w:eastAsia="黑体" w:cs="黑体"/>
          <w:b w:val="0"/>
          <w:bCs w:val="0"/>
        </w:rPr>
        <w:t xml:space="preserve"> </w:t>
      </w:r>
    </w:p>
    <w:p>
      <w:pPr>
        <w:spacing w:beforeLines="50"/>
        <w:jc w:val="center"/>
        <w:rPr>
          <w:rFonts w:ascii="黑体" w:hAnsi="黑体" w:eastAsia="黑体" w:cs="Times New Roman"/>
        </w:rPr>
      </w:pPr>
    </w:p>
    <w:p>
      <w:pPr>
        <w:spacing w:beforeLines="50"/>
        <w:jc w:val="center"/>
        <w:rPr>
          <w:rFonts w:ascii="黑体" w:hAnsi="黑体" w:eastAsia="黑体" w:cs="Times New Roman"/>
        </w:rPr>
      </w:pPr>
    </w:p>
    <w:p>
      <w:pPr>
        <w:spacing w:beforeLines="50"/>
        <w:jc w:val="center"/>
        <w:rPr>
          <w:rFonts w:ascii="黑体" w:hAnsi="黑体" w:eastAsia="黑体" w:cs="Times New Roman"/>
        </w:rPr>
      </w:pPr>
      <w:r>
        <w:rPr>
          <w:rFonts w:hint="eastAsia" w:ascii="黑体" w:hAnsi="黑体" w:eastAsia="黑体" w:cs="黑体"/>
        </w:rPr>
        <w:t>表</w:t>
      </w:r>
      <w:r>
        <w:rPr>
          <w:rFonts w:ascii="黑体" w:hAnsi="黑体" w:eastAsia="黑体" w:cs="黑体"/>
        </w:rPr>
        <w:t xml:space="preserve">5-7  </w:t>
      </w:r>
      <w:r>
        <w:rPr>
          <w:rFonts w:hint="eastAsia" w:ascii="黑体" w:hAnsi="黑体" w:eastAsia="黑体" w:cs="黑体"/>
        </w:rPr>
        <w:t>溅射靶材分类及用途</w:t>
      </w:r>
    </w:p>
    <w:tbl>
      <w:tblPr>
        <w:tblW w:w="9067" w:type="dxa"/>
        <w:tblInd w:w="2"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left w:w="108" w:type="dxa"/>
          <w:right w:w="108" w:type="dxa"/>
        </w:tblCellMar>
      </w:tblPr>
      <w:tblGrid>
        <w:gridCol w:w="1266"/>
        <w:gridCol w:w="3237"/>
        <w:gridCol w:w="1984"/>
        <w:gridCol w:w="2580"/>
      </w:tblGrid>
      <w:tr>
        <w:trPr>
          <w:trHeight w:val="392" w:hRule="atLeast"/>
        </w:trPr>
        <w:tc>
          <w:tcPr>
            <w:tcW w:w="1266" w:type="dxa"/>
            <w:tcBorders>
              <w:top w:val="single" w:color="auto" w:sz="4" w:space="0"/>
            </w:tcBorders>
            <w:shd w:val="clear" w:color="auto" w:fill="D9D9D9"/>
            <w:vAlign w:val="center"/>
          </w:tcPr>
          <w:p>
            <w:pPr>
              <w:widowControl/>
              <w:jc w:val="center"/>
              <w:rPr>
                <w:rFonts w:cs="Times New Roman"/>
                <w:b/>
                <w:bCs/>
                <w:kern w:val="0"/>
              </w:rPr>
            </w:pPr>
            <w:r>
              <w:rPr>
                <w:rFonts w:hint="eastAsia" w:cs="宋体"/>
                <w:b/>
                <w:bCs/>
                <w:kern w:val="0"/>
              </w:rPr>
              <w:t>应用领域</w:t>
            </w:r>
          </w:p>
        </w:tc>
        <w:tc>
          <w:tcPr>
            <w:tcW w:w="3237" w:type="dxa"/>
            <w:tcBorders>
              <w:top w:val="single" w:color="auto" w:sz="4" w:space="0"/>
            </w:tcBorders>
            <w:shd w:val="clear" w:color="auto" w:fill="D9D9D9"/>
            <w:vAlign w:val="center"/>
          </w:tcPr>
          <w:p>
            <w:pPr>
              <w:widowControl/>
              <w:jc w:val="center"/>
              <w:rPr>
                <w:rFonts w:cs="Times New Roman"/>
                <w:b/>
                <w:bCs/>
                <w:kern w:val="0"/>
              </w:rPr>
            </w:pPr>
            <w:r>
              <w:rPr>
                <w:rFonts w:hint="eastAsia" w:cs="宋体"/>
                <w:b/>
                <w:bCs/>
                <w:kern w:val="0"/>
              </w:rPr>
              <w:t>常用靶材（纯度</w:t>
            </w:r>
            <w:r>
              <w:rPr>
                <w:b/>
                <w:bCs/>
                <w:kern w:val="0"/>
              </w:rPr>
              <w:t>5N</w:t>
            </w:r>
            <w:r>
              <w:rPr>
                <w:rFonts w:hint="eastAsia" w:cs="宋体"/>
                <w:b/>
                <w:bCs/>
                <w:kern w:val="0"/>
              </w:rPr>
              <w:t>）</w:t>
            </w:r>
          </w:p>
        </w:tc>
        <w:tc>
          <w:tcPr>
            <w:tcW w:w="1984" w:type="dxa"/>
            <w:tcBorders>
              <w:top w:val="single" w:color="auto" w:sz="4" w:space="0"/>
            </w:tcBorders>
            <w:shd w:val="clear" w:color="auto" w:fill="D9D9D9"/>
            <w:vAlign w:val="center"/>
          </w:tcPr>
          <w:p>
            <w:pPr>
              <w:widowControl/>
              <w:jc w:val="center"/>
              <w:rPr>
                <w:rFonts w:cs="Times New Roman"/>
                <w:b/>
                <w:bCs/>
                <w:kern w:val="0"/>
              </w:rPr>
            </w:pPr>
            <w:r>
              <w:rPr>
                <w:rFonts w:hint="eastAsia" w:cs="宋体"/>
                <w:b/>
                <w:bCs/>
                <w:kern w:val="0"/>
              </w:rPr>
              <w:t>主要用途</w:t>
            </w:r>
          </w:p>
        </w:tc>
        <w:tc>
          <w:tcPr>
            <w:tcW w:w="2580" w:type="dxa"/>
            <w:tcBorders>
              <w:top w:val="single" w:color="auto" w:sz="4" w:space="0"/>
            </w:tcBorders>
            <w:shd w:val="clear" w:color="auto" w:fill="D9D9D9"/>
            <w:vAlign w:val="center"/>
          </w:tcPr>
          <w:p>
            <w:pPr>
              <w:widowControl/>
              <w:jc w:val="center"/>
              <w:rPr>
                <w:rFonts w:cs="Times New Roman"/>
                <w:b/>
                <w:bCs/>
                <w:kern w:val="0"/>
              </w:rPr>
            </w:pPr>
            <w:r>
              <w:rPr>
                <w:rFonts w:hint="eastAsia" w:hAnsi="宋体" w:cs="宋体"/>
                <w:b/>
                <w:bCs/>
                <w:kern w:val="0"/>
              </w:rPr>
              <w:t>性能要求</w:t>
            </w:r>
          </w:p>
        </w:tc>
      </w:tr>
      <w:tr>
        <w:trPr>
          <w:trHeight w:val="240" w:hRule="atLeast"/>
        </w:trPr>
        <w:tc>
          <w:tcPr>
            <w:tcW w:w="1266" w:type="dxa"/>
            <w:vAlign w:val="center"/>
          </w:tcPr>
          <w:p>
            <w:pPr>
              <w:widowControl/>
              <w:jc w:val="center"/>
              <w:rPr>
                <w:rFonts w:cs="Times New Roman"/>
                <w:kern w:val="0"/>
              </w:rPr>
            </w:pPr>
            <w:r>
              <w:rPr>
                <w:rFonts w:hint="eastAsia" w:cs="宋体"/>
                <w:kern w:val="0"/>
              </w:rPr>
              <w:t>半导体</w:t>
            </w:r>
          </w:p>
        </w:tc>
        <w:tc>
          <w:tcPr>
            <w:tcW w:w="3237" w:type="dxa"/>
            <w:vAlign w:val="center"/>
          </w:tcPr>
          <w:p>
            <w:pPr>
              <w:widowControl/>
              <w:jc w:val="left"/>
              <w:rPr>
                <w:rFonts w:cs="Times New Roman"/>
                <w:kern w:val="0"/>
              </w:rPr>
            </w:pPr>
            <w:r>
              <w:rPr>
                <w:rFonts w:hint="eastAsia" w:cs="宋体"/>
                <w:kern w:val="0"/>
              </w:rPr>
              <w:t>钽（</w:t>
            </w:r>
            <w:r>
              <w:rPr>
                <w:kern w:val="0"/>
              </w:rPr>
              <w:t>3N-6N</w:t>
            </w:r>
            <w:r>
              <w:rPr>
                <w:rFonts w:hint="eastAsia" w:cs="宋体"/>
                <w:kern w:val="0"/>
              </w:rPr>
              <w:t>）铜（</w:t>
            </w:r>
            <w:r>
              <w:rPr>
                <w:kern w:val="0"/>
              </w:rPr>
              <w:t>4N-6N</w:t>
            </w:r>
            <w:r>
              <w:rPr>
                <w:rFonts w:hint="eastAsia" w:cs="宋体"/>
                <w:kern w:val="0"/>
              </w:rPr>
              <w:t>）钛（</w:t>
            </w:r>
            <w:r>
              <w:rPr>
                <w:kern w:val="0"/>
              </w:rPr>
              <w:t>4N-5N</w:t>
            </w:r>
            <w:r>
              <w:rPr>
                <w:rFonts w:hint="eastAsia" w:cs="宋体"/>
                <w:kern w:val="0"/>
              </w:rPr>
              <w:t>）铝（</w:t>
            </w:r>
            <w:r>
              <w:rPr>
                <w:kern w:val="0"/>
              </w:rPr>
              <w:t>4N-6N</w:t>
            </w:r>
            <w:r>
              <w:rPr>
                <w:rFonts w:hint="eastAsia" w:cs="宋体"/>
                <w:kern w:val="0"/>
              </w:rPr>
              <w:t>）金（</w:t>
            </w:r>
            <w:r>
              <w:rPr>
                <w:kern w:val="0"/>
              </w:rPr>
              <w:t>5N</w:t>
            </w:r>
            <w:r>
              <w:rPr>
                <w:rFonts w:hint="eastAsia" w:cs="宋体"/>
                <w:kern w:val="0"/>
              </w:rPr>
              <w:t>）镍（</w:t>
            </w:r>
            <w:r>
              <w:rPr>
                <w:kern w:val="0"/>
              </w:rPr>
              <w:t>4N</w:t>
            </w:r>
            <w:r>
              <w:rPr>
                <w:rFonts w:hint="eastAsia" w:cs="宋体"/>
                <w:kern w:val="0"/>
              </w:rPr>
              <w:t>）高熔点金属</w:t>
            </w:r>
            <w:r>
              <w:rPr>
                <w:kern w:val="0"/>
              </w:rPr>
              <w:t>/</w:t>
            </w:r>
            <w:r>
              <w:rPr>
                <w:rFonts w:hint="eastAsia" w:cs="宋体"/>
                <w:kern w:val="0"/>
              </w:rPr>
              <w:t>铬（</w:t>
            </w:r>
            <w:r>
              <w:rPr>
                <w:kern w:val="0"/>
              </w:rPr>
              <w:t>3N</w:t>
            </w:r>
            <w:r>
              <w:rPr>
                <w:rFonts w:hint="eastAsia" w:cs="宋体"/>
                <w:kern w:val="0"/>
              </w:rPr>
              <w:t>）</w:t>
            </w:r>
          </w:p>
        </w:tc>
        <w:tc>
          <w:tcPr>
            <w:tcW w:w="1984" w:type="dxa"/>
            <w:vAlign w:val="center"/>
          </w:tcPr>
          <w:p>
            <w:pPr>
              <w:widowControl/>
              <w:jc w:val="left"/>
              <w:rPr>
                <w:rFonts w:cs="Times New Roman"/>
                <w:kern w:val="0"/>
              </w:rPr>
            </w:pPr>
            <w:r>
              <w:rPr>
                <w:rFonts w:hint="eastAsia" w:cs="宋体"/>
                <w:kern w:val="0"/>
              </w:rPr>
              <w:t>集成电路的关键原材料</w:t>
            </w:r>
          </w:p>
        </w:tc>
        <w:tc>
          <w:tcPr>
            <w:tcW w:w="2580" w:type="dxa"/>
            <w:vAlign w:val="center"/>
          </w:tcPr>
          <w:p>
            <w:pPr>
              <w:widowControl/>
              <w:jc w:val="left"/>
              <w:rPr>
                <w:rFonts w:cs="Times New Roman"/>
                <w:kern w:val="0"/>
              </w:rPr>
            </w:pPr>
            <w:r>
              <w:rPr>
                <w:rFonts w:hint="eastAsia" w:cs="宋体"/>
                <w:kern w:val="0"/>
              </w:rPr>
              <w:t>技术要求最高：纯度、尺寸、集成度</w:t>
            </w:r>
          </w:p>
        </w:tc>
      </w:tr>
      <w:tr>
        <w:trPr>
          <w:trHeight w:val="240" w:hRule="atLeast"/>
        </w:trPr>
        <w:tc>
          <w:tcPr>
            <w:tcW w:w="1266" w:type="dxa"/>
            <w:vAlign w:val="center"/>
          </w:tcPr>
          <w:p>
            <w:pPr>
              <w:widowControl/>
              <w:jc w:val="center"/>
              <w:rPr>
                <w:rFonts w:cs="Times New Roman"/>
                <w:kern w:val="0"/>
              </w:rPr>
            </w:pPr>
            <w:r>
              <w:rPr>
                <w:rFonts w:hint="eastAsia" w:cs="宋体"/>
                <w:kern w:val="0"/>
              </w:rPr>
              <w:t>平面显示器</w:t>
            </w:r>
          </w:p>
        </w:tc>
        <w:tc>
          <w:tcPr>
            <w:tcW w:w="3237" w:type="dxa"/>
            <w:vAlign w:val="center"/>
          </w:tcPr>
          <w:p>
            <w:pPr>
              <w:widowControl/>
              <w:jc w:val="left"/>
              <w:rPr>
                <w:kern w:val="0"/>
              </w:rPr>
            </w:pPr>
            <w:r>
              <w:rPr>
                <w:rFonts w:hint="eastAsia" w:cs="宋体"/>
                <w:kern w:val="0"/>
              </w:rPr>
              <w:t>铝</w:t>
            </w:r>
            <w:r>
              <w:rPr>
                <w:kern w:val="0"/>
              </w:rPr>
              <w:t>/</w:t>
            </w:r>
            <w:r>
              <w:rPr>
                <w:rFonts w:hint="eastAsia" w:cs="宋体"/>
                <w:kern w:val="0"/>
              </w:rPr>
              <w:t>铜</w:t>
            </w:r>
            <w:r>
              <w:rPr>
                <w:kern w:val="0"/>
              </w:rPr>
              <w:t>/</w:t>
            </w:r>
            <w:r>
              <w:rPr>
                <w:rFonts w:hint="eastAsia" w:cs="宋体"/>
                <w:kern w:val="0"/>
              </w:rPr>
              <w:t>钼</w:t>
            </w:r>
            <w:r>
              <w:rPr>
                <w:kern w:val="0"/>
              </w:rPr>
              <w:t>/</w:t>
            </w:r>
            <w:r>
              <w:rPr>
                <w:rFonts w:hint="eastAsia" w:cs="宋体"/>
                <w:kern w:val="0"/>
              </w:rPr>
              <w:t>镍</w:t>
            </w:r>
            <w:r>
              <w:rPr>
                <w:kern w:val="0"/>
              </w:rPr>
              <w:t>/</w:t>
            </w:r>
            <w:r>
              <w:rPr>
                <w:rFonts w:hint="eastAsia" w:cs="宋体"/>
                <w:kern w:val="0"/>
              </w:rPr>
              <w:t>铌</w:t>
            </w:r>
            <w:r>
              <w:rPr>
                <w:kern w:val="0"/>
              </w:rPr>
              <w:t>/</w:t>
            </w:r>
            <w:r>
              <w:rPr>
                <w:rFonts w:hint="eastAsia" w:cs="宋体"/>
                <w:kern w:val="0"/>
              </w:rPr>
              <w:t>硅</w:t>
            </w:r>
            <w:r>
              <w:rPr>
                <w:kern w:val="0"/>
              </w:rPr>
              <w:t>/</w:t>
            </w:r>
            <w:r>
              <w:rPr>
                <w:rFonts w:hint="eastAsia" w:cs="宋体"/>
                <w:kern w:val="0"/>
              </w:rPr>
              <w:t>铬</w:t>
            </w:r>
            <w:r>
              <w:rPr>
                <w:kern w:val="0"/>
              </w:rPr>
              <w:t>/ITO</w:t>
            </w:r>
          </w:p>
        </w:tc>
        <w:tc>
          <w:tcPr>
            <w:tcW w:w="1984" w:type="dxa"/>
            <w:vAlign w:val="center"/>
          </w:tcPr>
          <w:p>
            <w:pPr>
              <w:widowControl/>
              <w:jc w:val="left"/>
              <w:rPr>
                <w:rFonts w:cs="Times New Roman"/>
                <w:kern w:val="0"/>
              </w:rPr>
            </w:pPr>
            <w:r>
              <w:rPr>
                <w:rFonts w:hint="eastAsia" w:cs="宋体"/>
                <w:kern w:val="0"/>
              </w:rPr>
              <w:t>电视、笔记本的各型大面积膜层</w:t>
            </w:r>
          </w:p>
        </w:tc>
        <w:tc>
          <w:tcPr>
            <w:tcW w:w="2580" w:type="dxa"/>
            <w:vAlign w:val="center"/>
          </w:tcPr>
          <w:p>
            <w:pPr>
              <w:widowControl/>
              <w:jc w:val="left"/>
              <w:rPr>
                <w:rFonts w:cs="Times New Roman"/>
                <w:kern w:val="0"/>
              </w:rPr>
            </w:pPr>
            <w:r>
              <w:rPr>
                <w:rFonts w:hint="eastAsia" w:cs="宋体"/>
                <w:kern w:val="0"/>
              </w:rPr>
              <w:t>技术要求最高：纯度、大面积、均匀性</w:t>
            </w:r>
          </w:p>
        </w:tc>
      </w:tr>
      <w:tr>
        <w:trPr>
          <w:trHeight w:val="240" w:hRule="atLeast"/>
        </w:trPr>
        <w:tc>
          <w:tcPr>
            <w:tcW w:w="1266" w:type="dxa"/>
            <w:vAlign w:val="center"/>
          </w:tcPr>
          <w:p>
            <w:pPr>
              <w:widowControl/>
              <w:jc w:val="center"/>
              <w:rPr>
                <w:rFonts w:cs="Times New Roman"/>
                <w:kern w:val="0"/>
              </w:rPr>
            </w:pPr>
            <w:r>
              <w:rPr>
                <w:rFonts w:hint="eastAsia" w:cs="宋体"/>
                <w:kern w:val="0"/>
              </w:rPr>
              <w:t>太阳能电池</w:t>
            </w:r>
          </w:p>
        </w:tc>
        <w:tc>
          <w:tcPr>
            <w:tcW w:w="3237" w:type="dxa"/>
            <w:vAlign w:val="center"/>
          </w:tcPr>
          <w:p>
            <w:pPr>
              <w:widowControl/>
              <w:jc w:val="left"/>
              <w:rPr>
                <w:rFonts w:cs="Times New Roman"/>
                <w:kern w:val="0"/>
              </w:rPr>
            </w:pPr>
            <w:r>
              <w:rPr>
                <w:rFonts w:hint="eastAsia" w:cs="宋体"/>
                <w:kern w:val="0"/>
              </w:rPr>
              <w:t>铝</w:t>
            </w:r>
            <w:r>
              <w:rPr>
                <w:kern w:val="0"/>
              </w:rPr>
              <w:t>/</w:t>
            </w:r>
            <w:r>
              <w:rPr>
                <w:rFonts w:hint="eastAsia" w:cs="宋体"/>
                <w:kern w:val="0"/>
              </w:rPr>
              <w:t>铜</w:t>
            </w:r>
            <w:r>
              <w:rPr>
                <w:kern w:val="0"/>
              </w:rPr>
              <w:t>/</w:t>
            </w:r>
            <w:r>
              <w:rPr>
                <w:rFonts w:hint="eastAsia" w:cs="宋体"/>
                <w:kern w:val="0"/>
              </w:rPr>
              <w:t>钼</w:t>
            </w:r>
            <w:r>
              <w:rPr>
                <w:kern w:val="0"/>
              </w:rPr>
              <w:t>/</w:t>
            </w:r>
            <w:r>
              <w:rPr>
                <w:rFonts w:hint="eastAsia" w:cs="宋体"/>
                <w:kern w:val="0"/>
              </w:rPr>
              <w:t>铬</w:t>
            </w:r>
            <w:r>
              <w:rPr>
                <w:kern w:val="0"/>
              </w:rPr>
              <w:t>/ITO/</w:t>
            </w:r>
            <w:r>
              <w:rPr>
                <w:rFonts w:hint="eastAsia" w:cs="宋体"/>
                <w:kern w:val="0"/>
              </w:rPr>
              <w:t>铟（</w:t>
            </w:r>
            <w:r>
              <w:rPr>
                <w:kern w:val="0"/>
              </w:rPr>
              <w:t>4N</w:t>
            </w:r>
            <w:r>
              <w:rPr>
                <w:rFonts w:hint="eastAsia" w:cs="宋体"/>
                <w:kern w:val="0"/>
              </w:rPr>
              <w:t>）</w:t>
            </w:r>
            <w:r>
              <w:rPr>
                <w:kern w:val="0"/>
              </w:rPr>
              <w:t>/AZO/ZnS</w:t>
            </w:r>
            <w:r>
              <w:rPr>
                <w:rFonts w:hint="eastAsia" w:cs="宋体"/>
                <w:kern w:val="0"/>
              </w:rPr>
              <w:t>、</w:t>
            </w:r>
            <w:r>
              <w:rPr>
                <w:kern w:val="0"/>
              </w:rPr>
              <w:t>Ta</w:t>
            </w:r>
            <w:r>
              <w:rPr>
                <w:rFonts w:hint="eastAsia" w:cs="宋体"/>
                <w:kern w:val="0"/>
              </w:rPr>
              <w:t>（</w:t>
            </w:r>
            <w:r>
              <w:rPr>
                <w:kern w:val="0"/>
              </w:rPr>
              <w:t>3N-4N</w:t>
            </w:r>
            <w:r>
              <w:rPr>
                <w:rFonts w:hint="eastAsia" w:cs="宋体"/>
                <w:kern w:val="0"/>
              </w:rPr>
              <w:t>）</w:t>
            </w:r>
          </w:p>
        </w:tc>
        <w:tc>
          <w:tcPr>
            <w:tcW w:w="1984" w:type="dxa"/>
            <w:vAlign w:val="center"/>
          </w:tcPr>
          <w:p>
            <w:pPr>
              <w:widowControl/>
              <w:jc w:val="left"/>
              <w:rPr>
                <w:rFonts w:cs="Times New Roman"/>
                <w:kern w:val="0"/>
              </w:rPr>
            </w:pPr>
            <w:r>
              <w:rPr>
                <w:rFonts w:hint="eastAsia" w:cs="宋体"/>
                <w:kern w:val="0"/>
              </w:rPr>
              <w:t>“窗口层”、阻挡层、电极与导电膜</w:t>
            </w:r>
          </w:p>
        </w:tc>
        <w:tc>
          <w:tcPr>
            <w:tcW w:w="2580" w:type="dxa"/>
            <w:vAlign w:val="center"/>
          </w:tcPr>
          <w:p>
            <w:pPr>
              <w:widowControl/>
              <w:jc w:val="left"/>
              <w:rPr>
                <w:rFonts w:cs="Times New Roman"/>
                <w:kern w:val="0"/>
              </w:rPr>
            </w:pPr>
            <w:r>
              <w:rPr>
                <w:rFonts w:hint="eastAsia" w:cs="宋体"/>
                <w:kern w:val="0"/>
              </w:rPr>
              <w:t>技术要求高，应用范围大</w:t>
            </w:r>
          </w:p>
        </w:tc>
      </w:tr>
      <w:tr>
        <w:trPr>
          <w:trHeight w:val="240" w:hRule="atLeast"/>
        </w:trPr>
        <w:tc>
          <w:tcPr>
            <w:tcW w:w="1266" w:type="dxa"/>
            <w:vAlign w:val="center"/>
          </w:tcPr>
          <w:p>
            <w:pPr>
              <w:widowControl/>
              <w:jc w:val="center"/>
              <w:rPr>
                <w:rFonts w:cs="Times New Roman"/>
                <w:kern w:val="0"/>
              </w:rPr>
            </w:pPr>
            <w:r>
              <w:rPr>
                <w:rFonts w:hint="eastAsia" w:cs="宋体"/>
                <w:kern w:val="0"/>
              </w:rPr>
              <w:t>信息存储</w:t>
            </w:r>
          </w:p>
        </w:tc>
        <w:tc>
          <w:tcPr>
            <w:tcW w:w="3237" w:type="dxa"/>
            <w:vAlign w:val="center"/>
          </w:tcPr>
          <w:p>
            <w:pPr>
              <w:widowControl/>
              <w:jc w:val="left"/>
              <w:rPr>
                <w:rFonts w:cs="Times New Roman"/>
                <w:kern w:val="0"/>
              </w:rPr>
            </w:pPr>
            <w:r>
              <w:rPr>
                <w:rFonts w:hint="eastAsia" w:cs="宋体"/>
                <w:kern w:val="0"/>
              </w:rPr>
              <w:t>钴（</w:t>
            </w:r>
            <w:r>
              <w:rPr>
                <w:kern w:val="0"/>
              </w:rPr>
              <w:t>3N</w:t>
            </w:r>
            <w:r>
              <w:rPr>
                <w:rFonts w:hint="eastAsia" w:cs="宋体"/>
                <w:kern w:val="0"/>
              </w:rPr>
              <w:t>）</w:t>
            </w:r>
            <w:r>
              <w:rPr>
                <w:kern w:val="0"/>
              </w:rPr>
              <w:t>/</w:t>
            </w:r>
            <w:r>
              <w:rPr>
                <w:rFonts w:hint="eastAsia" w:cs="宋体"/>
                <w:kern w:val="0"/>
              </w:rPr>
              <w:t>镍</w:t>
            </w:r>
            <w:r>
              <w:rPr>
                <w:kern w:val="0"/>
              </w:rPr>
              <w:t>/</w:t>
            </w:r>
            <w:r>
              <w:rPr>
                <w:rFonts w:hint="eastAsia" w:cs="宋体"/>
                <w:kern w:val="0"/>
              </w:rPr>
              <w:t>铁合金</w:t>
            </w:r>
            <w:r>
              <w:rPr>
                <w:kern w:val="0"/>
              </w:rPr>
              <w:t>/</w:t>
            </w:r>
            <w:r>
              <w:rPr>
                <w:rFonts w:hint="eastAsia" w:cs="宋体"/>
                <w:kern w:val="0"/>
              </w:rPr>
              <w:t>铬</w:t>
            </w:r>
            <w:r>
              <w:rPr>
                <w:kern w:val="0"/>
              </w:rPr>
              <w:t>/</w:t>
            </w:r>
            <w:r>
              <w:rPr>
                <w:rFonts w:hint="eastAsia" w:cs="宋体"/>
                <w:kern w:val="0"/>
              </w:rPr>
              <w:t>碲、硒（</w:t>
            </w:r>
            <w:r>
              <w:rPr>
                <w:kern w:val="0"/>
              </w:rPr>
              <w:t>4N</w:t>
            </w:r>
            <w:r>
              <w:rPr>
                <w:rFonts w:hint="eastAsia" w:cs="宋体"/>
                <w:kern w:val="0"/>
              </w:rPr>
              <w:t>）</w:t>
            </w:r>
            <w:r>
              <w:rPr>
                <w:kern w:val="0"/>
              </w:rPr>
              <w:t>/</w:t>
            </w:r>
            <w:r>
              <w:rPr>
                <w:rFonts w:hint="eastAsia" w:cs="宋体"/>
                <w:kern w:val="0"/>
              </w:rPr>
              <w:t>稀土</w:t>
            </w:r>
            <w:r>
              <w:rPr>
                <w:kern w:val="0"/>
              </w:rPr>
              <w:t>-</w:t>
            </w:r>
            <w:r>
              <w:rPr>
                <w:rFonts w:hint="eastAsia" w:cs="宋体"/>
                <w:kern w:val="0"/>
              </w:rPr>
              <w:t>迁移金属（</w:t>
            </w:r>
            <w:r>
              <w:rPr>
                <w:kern w:val="0"/>
              </w:rPr>
              <w:t>3N</w:t>
            </w:r>
            <w:r>
              <w:rPr>
                <w:rFonts w:hint="eastAsia" w:cs="宋体"/>
                <w:kern w:val="0"/>
              </w:rPr>
              <w:t>）</w:t>
            </w:r>
          </w:p>
        </w:tc>
        <w:tc>
          <w:tcPr>
            <w:tcW w:w="1984" w:type="dxa"/>
            <w:vAlign w:val="center"/>
          </w:tcPr>
          <w:p>
            <w:pPr>
              <w:widowControl/>
              <w:jc w:val="left"/>
              <w:rPr>
                <w:rFonts w:cs="Times New Roman"/>
                <w:kern w:val="0"/>
              </w:rPr>
            </w:pPr>
            <w:r>
              <w:rPr>
                <w:rFonts w:hint="eastAsia" w:cs="宋体"/>
                <w:kern w:val="0"/>
              </w:rPr>
              <w:t>光驱与光盘的磁头、中间层、底层</w:t>
            </w:r>
          </w:p>
        </w:tc>
        <w:tc>
          <w:tcPr>
            <w:tcW w:w="2580" w:type="dxa"/>
            <w:vAlign w:val="center"/>
          </w:tcPr>
          <w:p>
            <w:pPr>
              <w:widowControl/>
              <w:jc w:val="left"/>
              <w:rPr>
                <w:rFonts w:cs="Times New Roman"/>
                <w:kern w:val="0"/>
              </w:rPr>
            </w:pPr>
            <w:r>
              <w:rPr>
                <w:rFonts w:hint="eastAsia" w:cs="宋体"/>
                <w:kern w:val="0"/>
              </w:rPr>
              <w:t>高储存密度、高传输速度</w:t>
            </w:r>
          </w:p>
        </w:tc>
      </w:tr>
      <w:tr>
        <w:trPr>
          <w:trHeight w:val="240" w:hRule="atLeast"/>
        </w:trPr>
        <w:tc>
          <w:tcPr>
            <w:tcW w:w="1266" w:type="dxa"/>
            <w:vAlign w:val="center"/>
          </w:tcPr>
          <w:p>
            <w:pPr>
              <w:widowControl/>
              <w:jc w:val="center"/>
              <w:rPr>
                <w:rFonts w:cs="Times New Roman"/>
                <w:kern w:val="0"/>
              </w:rPr>
            </w:pPr>
            <w:r>
              <w:rPr>
                <w:rFonts w:hint="eastAsia" w:cs="宋体"/>
                <w:kern w:val="0"/>
              </w:rPr>
              <w:t>工具改性</w:t>
            </w:r>
          </w:p>
        </w:tc>
        <w:tc>
          <w:tcPr>
            <w:tcW w:w="3237" w:type="dxa"/>
            <w:vAlign w:val="center"/>
          </w:tcPr>
          <w:p>
            <w:pPr>
              <w:widowControl/>
              <w:jc w:val="left"/>
              <w:rPr>
                <w:rFonts w:cs="Times New Roman"/>
                <w:kern w:val="0"/>
              </w:rPr>
            </w:pPr>
            <w:r>
              <w:rPr>
                <w:rFonts w:hint="eastAsia" w:cs="宋体"/>
                <w:kern w:val="0"/>
              </w:rPr>
              <w:t>钛、锆（</w:t>
            </w:r>
            <w:r>
              <w:rPr>
                <w:kern w:val="0"/>
              </w:rPr>
              <w:t>3N</w:t>
            </w:r>
            <w:r>
              <w:rPr>
                <w:rFonts w:hint="eastAsia" w:cs="宋体"/>
                <w:kern w:val="0"/>
              </w:rPr>
              <w:t>）</w:t>
            </w:r>
            <w:r>
              <w:rPr>
                <w:kern w:val="0"/>
              </w:rPr>
              <w:t>/</w:t>
            </w:r>
            <w:r>
              <w:rPr>
                <w:rFonts w:hint="eastAsia" w:cs="宋体"/>
                <w:kern w:val="0"/>
              </w:rPr>
              <w:t>铬</w:t>
            </w:r>
            <w:r>
              <w:rPr>
                <w:kern w:val="0"/>
              </w:rPr>
              <w:t>/</w:t>
            </w:r>
            <w:r>
              <w:rPr>
                <w:rFonts w:hint="eastAsia" w:cs="宋体"/>
                <w:kern w:val="0"/>
              </w:rPr>
              <w:t>铬铝合金</w:t>
            </w:r>
          </w:p>
        </w:tc>
        <w:tc>
          <w:tcPr>
            <w:tcW w:w="1984" w:type="dxa"/>
            <w:vAlign w:val="center"/>
          </w:tcPr>
          <w:p>
            <w:pPr>
              <w:widowControl/>
              <w:jc w:val="left"/>
              <w:rPr>
                <w:rFonts w:cs="Times New Roman"/>
                <w:kern w:val="0"/>
              </w:rPr>
            </w:pPr>
            <w:r>
              <w:rPr>
                <w:rFonts w:hint="eastAsia" w:cs="宋体"/>
                <w:kern w:val="0"/>
              </w:rPr>
              <w:t>表面强化</w:t>
            </w:r>
          </w:p>
        </w:tc>
        <w:tc>
          <w:tcPr>
            <w:tcW w:w="2580" w:type="dxa"/>
            <w:vAlign w:val="center"/>
          </w:tcPr>
          <w:p>
            <w:pPr>
              <w:widowControl/>
              <w:jc w:val="left"/>
              <w:rPr>
                <w:rFonts w:cs="Times New Roman"/>
                <w:kern w:val="0"/>
              </w:rPr>
            </w:pPr>
            <w:r>
              <w:rPr>
                <w:rFonts w:hint="eastAsia" w:cs="宋体"/>
                <w:kern w:val="0"/>
              </w:rPr>
              <w:t>性能要求较高，长寿命</w:t>
            </w:r>
          </w:p>
        </w:tc>
      </w:tr>
      <w:tr>
        <w:trPr>
          <w:trHeight w:val="240" w:hRule="atLeast"/>
        </w:trPr>
        <w:tc>
          <w:tcPr>
            <w:tcW w:w="1266" w:type="dxa"/>
            <w:vAlign w:val="center"/>
          </w:tcPr>
          <w:p>
            <w:pPr>
              <w:widowControl/>
              <w:jc w:val="center"/>
              <w:rPr>
                <w:rFonts w:cs="Times New Roman"/>
                <w:kern w:val="0"/>
              </w:rPr>
            </w:pPr>
            <w:r>
              <w:rPr>
                <w:rFonts w:hint="eastAsia" w:cs="宋体"/>
                <w:kern w:val="0"/>
              </w:rPr>
              <w:t>电子器件</w:t>
            </w:r>
          </w:p>
        </w:tc>
        <w:tc>
          <w:tcPr>
            <w:tcW w:w="3237" w:type="dxa"/>
            <w:vAlign w:val="center"/>
          </w:tcPr>
          <w:p>
            <w:pPr>
              <w:widowControl/>
              <w:jc w:val="left"/>
              <w:rPr>
                <w:rFonts w:cs="Times New Roman"/>
                <w:kern w:val="0"/>
              </w:rPr>
            </w:pPr>
            <w:r>
              <w:rPr>
                <w:rFonts w:hint="eastAsia" w:cs="宋体"/>
                <w:kern w:val="0"/>
              </w:rPr>
              <w:t>铝合金（</w:t>
            </w:r>
            <w:r>
              <w:rPr>
                <w:kern w:val="0"/>
              </w:rPr>
              <w:t>3N/</w:t>
            </w:r>
            <w:r>
              <w:rPr>
                <w:rFonts w:hint="eastAsia" w:cs="宋体"/>
                <w:kern w:val="0"/>
              </w:rPr>
              <w:t>石英（</w:t>
            </w:r>
            <w:r>
              <w:rPr>
                <w:kern w:val="0"/>
              </w:rPr>
              <w:t>5N</w:t>
            </w:r>
            <w:r>
              <w:rPr>
                <w:rFonts w:hint="eastAsia" w:cs="宋体"/>
                <w:kern w:val="0"/>
              </w:rPr>
              <w:t>））</w:t>
            </w:r>
            <w:r>
              <w:rPr>
                <w:kern w:val="0"/>
              </w:rPr>
              <w:t>/</w:t>
            </w:r>
            <w:r>
              <w:rPr>
                <w:rFonts w:hint="eastAsia" w:cs="宋体"/>
                <w:kern w:val="0"/>
              </w:rPr>
              <w:t>硅</w:t>
            </w:r>
            <w:r>
              <w:rPr>
                <w:kern w:val="0"/>
              </w:rPr>
              <w:t>/</w:t>
            </w:r>
            <w:r>
              <w:rPr>
                <w:rFonts w:hint="eastAsia" w:cs="宋体"/>
                <w:kern w:val="0"/>
              </w:rPr>
              <w:t>钛、钽</w:t>
            </w:r>
          </w:p>
        </w:tc>
        <w:tc>
          <w:tcPr>
            <w:tcW w:w="1984" w:type="dxa"/>
            <w:vAlign w:val="center"/>
          </w:tcPr>
          <w:p>
            <w:pPr>
              <w:widowControl/>
              <w:jc w:val="left"/>
              <w:rPr>
                <w:rFonts w:cs="Times New Roman"/>
                <w:kern w:val="0"/>
              </w:rPr>
            </w:pPr>
            <w:r>
              <w:rPr>
                <w:rFonts w:hint="eastAsia" w:cs="宋体"/>
                <w:kern w:val="0"/>
              </w:rPr>
              <w:t>薄膜电阻与电容</w:t>
            </w:r>
          </w:p>
        </w:tc>
        <w:tc>
          <w:tcPr>
            <w:tcW w:w="2580" w:type="dxa"/>
            <w:vAlign w:val="center"/>
          </w:tcPr>
          <w:p>
            <w:pPr>
              <w:widowControl/>
              <w:jc w:val="left"/>
              <w:rPr>
                <w:rFonts w:cs="Times New Roman"/>
                <w:kern w:val="0"/>
              </w:rPr>
            </w:pPr>
            <w:r>
              <w:rPr>
                <w:rFonts w:hint="eastAsia" w:cs="宋体"/>
                <w:kern w:val="0"/>
              </w:rPr>
              <w:t>尺寸小、稳定性、电阻温度系数小</w:t>
            </w:r>
          </w:p>
        </w:tc>
      </w:tr>
      <w:tr>
        <w:trPr>
          <w:trHeight w:val="240" w:hRule="atLeast"/>
        </w:trPr>
        <w:tc>
          <w:tcPr>
            <w:tcW w:w="1266" w:type="dxa"/>
            <w:tcBorders>
              <w:bottom w:val="single" w:color="auto" w:sz="4" w:space="0"/>
            </w:tcBorders>
            <w:vAlign w:val="center"/>
          </w:tcPr>
          <w:p>
            <w:pPr>
              <w:widowControl/>
              <w:jc w:val="center"/>
              <w:rPr>
                <w:rFonts w:cs="Times New Roman"/>
                <w:kern w:val="0"/>
              </w:rPr>
            </w:pPr>
            <w:r>
              <w:rPr>
                <w:rFonts w:hint="eastAsia" w:cs="宋体"/>
                <w:kern w:val="0"/>
              </w:rPr>
              <w:t>其他</w:t>
            </w:r>
          </w:p>
        </w:tc>
        <w:tc>
          <w:tcPr>
            <w:tcW w:w="3237" w:type="dxa"/>
            <w:tcBorders>
              <w:bottom w:val="single" w:color="auto" w:sz="4" w:space="0"/>
            </w:tcBorders>
            <w:vAlign w:val="center"/>
          </w:tcPr>
          <w:p>
            <w:pPr>
              <w:widowControl/>
              <w:jc w:val="left"/>
              <w:rPr>
                <w:rFonts w:cs="Times New Roman"/>
                <w:kern w:val="0"/>
              </w:rPr>
            </w:pPr>
            <w:r>
              <w:rPr>
                <w:rFonts w:hint="eastAsia" w:cs="宋体"/>
                <w:kern w:val="0"/>
              </w:rPr>
              <w:t>氧化物（</w:t>
            </w:r>
            <w:r>
              <w:rPr>
                <w:kern w:val="0"/>
              </w:rPr>
              <w:t>3N</w:t>
            </w:r>
            <w:r>
              <w:rPr>
                <w:rFonts w:hint="eastAsia" w:cs="宋体"/>
                <w:kern w:val="0"/>
              </w:rPr>
              <w:t>）</w:t>
            </w:r>
            <w:r>
              <w:rPr>
                <w:kern w:val="0"/>
              </w:rPr>
              <w:t>/</w:t>
            </w:r>
            <w:r>
              <w:rPr>
                <w:rFonts w:hint="eastAsia" w:cs="宋体"/>
                <w:kern w:val="0"/>
              </w:rPr>
              <w:t>石英（</w:t>
            </w:r>
            <w:r>
              <w:rPr>
                <w:kern w:val="0"/>
              </w:rPr>
              <w:t>5N</w:t>
            </w:r>
            <w:r>
              <w:rPr>
                <w:rFonts w:hint="eastAsia" w:cs="宋体"/>
                <w:kern w:val="0"/>
              </w:rPr>
              <w:t>）</w:t>
            </w:r>
            <w:r>
              <w:rPr>
                <w:kern w:val="0"/>
              </w:rPr>
              <w:t>/</w:t>
            </w:r>
            <w:r>
              <w:rPr>
                <w:rFonts w:hint="eastAsia" w:cs="宋体"/>
                <w:kern w:val="0"/>
              </w:rPr>
              <w:t>硅</w:t>
            </w:r>
            <w:r>
              <w:rPr>
                <w:kern w:val="0"/>
              </w:rPr>
              <w:t>/</w:t>
            </w:r>
            <w:r>
              <w:rPr>
                <w:rFonts w:hint="eastAsia" w:cs="宋体"/>
                <w:kern w:val="0"/>
              </w:rPr>
              <w:t>钛、钽</w:t>
            </w:r>
          </w:p>
        </w:tc>
        <w:tc>
          <w:tcPr>
            <w:tcW w:w="1984" w:type="dxa"/>
            <w:tcBorders>
              <w:bottom w:val="single" w:color="auto" w:sz="4" w:space="0"/>
            </w:tcBorders>
            <w:vAlign w:val="center"/>
          </w:tcPr>
          <w:p>
            <w:pPr>
              <w:widowControl/>
              <w:jc w:val="left"/>
              <w:rPr>
                <w:rFonts w:cs="Times New Roman"/>
                <w:kern w:val="0"/>
              </w:rPr>
            </w:pPr>
            <w:r>
              <w:rPr>
                <w:rFonts w:hint="eastAsia" w:cs="宋体"/>
                <w:kern w:val="0"/>
              </w:rPr>
              <w:t>装饰镀膜与玻璃镀膜</w:t>
            </w:r>
          </w:p>
        </w:tc>
        <w:tc>
          <w:tcPr>
            <w:tcW w:w="2580" w:type="dxa"/>
            <w:tcBorders>
              <w:bottom w:val="single" w:color="auto" w:sz="4" w:space="0"/>
            </w:tcBorders>
            <w:vAlign w:val="center"/>
          </w:tcPr>
          <w:p>
            <w:pPr>
              <w:widowControl/>
              <w:jc w:val="left"/>
              <w:rPr>
                <w:rFonts w:cs="Times New Roman"/>
                <w:kern w:val="0"/>
              </w:rPr>
            </w:pPr>
            <w:r>
              <w:rPr>
                <w:rFonts w:hint="eastAsia" w:cs="宋体"/>
                <w:kern w:val="0"/>
              </w:rPr>
              <w:t>技术要求一般</w:t>
            </w:r>
          </w:p>
        </w:tc>
      </w:tr>
    </w:tbl>
    <w:p>
      <w:pPr>
        <w:tabs>
          <w:tab w:val="center" w:pos="4153"/>
        </w:tabs>
        <w:ind w:firstLine="31680" w:firstLineChars="100"/>
        <w:jc w:val="left"/>
        <w:rPr>
          <w:rFonts w:ascii="华文楷体" w:hAnsi="华文楷体" w:eastAsia="华文楷体" w:cs="Times New Roman"/>
        </w:rPr>
      </w:pPr>
      <w:r>
        <w:rPr>
          <w:rFonts w:hint="eastAsia" w:ascii="华文楷体" w:hAnsi="华文楷体" w:eastAsia="华文楷体" w:cs="华文楷体"/>
        </w:rPr>
        <w:t>资料来源：江丰电子招股说明书</w:t>
      </w:r>
    </w:p>
    <w:p>
      <w:pPr>
        <w:spacing w:line="560" w:lineRule="exact"/>
        <w:ind w:firstLine="31680" w:firstLineChars="200"/>
        <w:rPr>
          <w:rFonts w:ascii="仿宋" w:hAnsi="仿宋" w:eastAsia="仿宋" w:cs="Times New Roman"/>
          <w:sz w:val="28"/>
          <w:szCs w:val="28"/>
        </w:rPr>
      </w:pPr>
      <w:r>
        <w:rPr>
          <w:rFonts w:hint="eastAsia" w:ascii="仿宋" w:hAnsi="仿宋" w:eastAsia="仿宋" w:cs="仿宋"/>
          <w:sz w:val="28"/>
          <w:szCs w:val="28"/>
        </w:rPr>
        <w:t>随着消费电子等终端应用的飞速发展，高纯度溅射靶材的市场销售额日益扩大，全球市场规模上百亿美元；其中半导体用靶材全球市场规模在十亿美元以上，市场规模居于平板显示器、记录媒体以及太阳能电池之后，是高纯溅射靶材的主要应用领域之一。随着移动智能终端、平板电脑、消费电子、以及汽车电子产品等市场需求的推动下，高纯溅射靶材呈现高速增长的趋势。</w:t>
      </w:r>
    </w:p>
    <w:p>
      <w:pPr>
        <w:spacing w:line="560" w:lineRule="exact"/>
        <w:ind w:firstLine="31680" w:firstLineChars="200"/>
        <w:rPr>
          <w:rFonts w:ascii="仿宋" w:hAnsi="仿宋" w:eastAsia="仿宋" w:cs="Times New Roman"/>
          <w:sz w:val="28"/>
          <w:szCs w:val="28"/>
        </w:rPr>
      </w:pPr>
      <w:r>
        <w:rPr>
          <w:rFonts w:hint="eastAsia" w:ascii="仿宋" w:hAnsi="仿宋" w:eastAsia="仿宋" w:cs="仿宋"/>
          <w:sz w:val="28"/>
          <w:szCs w:val="28"/>
        </w:rPr>
        <w:t>国内半导体用高纯金属靶材市场已经在</w:t>
      </w:r>
      <w:r>
        <w:rPr>
          <w:rFonts w:ascii="仿宋" w:hAnsi="仿宋" w:eastAsia="仿宋" w:cs="仿宋"/>
          <w:sz w:val="28"/>
          <w:szCs w:val="28"/>
        </w:rPr>
        <w:t>10</w:t>
      </w:r>
      <w:r>
        <w:rPr>
          <w:rFonts w:hint="eastAsia" w:ascii="仿宋" w:hAnsi="仿宋" w:eastAsia="仿宋" w:cs="仿宋"/>
          <w:sz w:val="28"/>
          <w:szCs w:val="28"/>
        </w:rPr>
        <w:t>亿元以上，在全球市场中占到</w:t>
      </w:r>
      <w:r>
        <w:rPr>
          <w:rFonts w:ascii="仿宋" w:hAnsi="仿宋" w:eastAsia="仿宋" w:cs="仿宋"/>
          <w:sz w:val="28"/>
          <w:szCs w:val="28"/>
        </w:rPr>
        <w:t>20%</w:t>
      </w:r>
      <w:r>
        <w:rPr>
          <w:rFonts w:hint="eastAsia" w:ascii="仿宋" w:hAnsi="仿宋" w:eastAsia="仿宋" w:cs="仿宋"/>
          <w:sz w:val="28"/>
          <w:szCs w:val="28"/>
        </w:rPr>
        <w:t>的份额，国产化率仅达到</w:t>
      </w:r>
      <w:r>
        <w:rPr>
          <w:rFonts w:ascii="仿宋" w:hAnsi="仿宋" w:eastAsia="仿宋" w:cs="仿宋"/>
          <w:sz w:val="28"/>
          <w:szCs w:val="28"/>
        </w:rPr>
        <w:t>20%</w:t>
      </w:r>
      <w:r>
        <w:rPr>
          <w:rFonts w:hint="eastAsia" w:ascii="仿宋" w:hAnsi="仿宋" w:eastAsia="仿宋" w:cs="仿宋"/>
          <w:sz w:val="28"/>
          <w:szCs w:val="28"/>
        </w:rPr>
        <w:t>。高性能靶材主要依赖进口。随着我国集成电路工艺技术的提升，相关靶材的需求将快速提升。新型的存储器技术的开发更离不开具有优异特殊性能的新型材料，相变存储、磁存储、阻变存储等都给新材料的开发带来重要的机会。</w:t>
      </w:r>
      <w:r>
        <w:rPr>
          <w:rFonts w:ascii="仿宋" w:hAnsi="仿宋" w:eastAsia="仿宋" w:cs="仿宋"/>
          <w:sz w:val="28"/>
          <w:szCs w:val="28"/>
        </w:rPr>
        <w:t>5G</w:t>
      </w:r>
      <w:r>
        <w:rPr>
          <w:rFonts w:hint="eastAsia" w:ascii="仿宋" w:hAnsi="仿宋" w:eastAsia="仿宋" w:cs="仿宋"/>
          <w:sz w:val="28"/>
          <w:szCs w:val="28"/>
        </w:rPr>
        <w:t>射频芯片、</w:t>
      </w:r>
      <w:r>
        <w:rPr>
          <w:rFonts w:ascii="仿宋" w:hAnsi="仿宋" w:eastAsia="仿宋" w:cs="仿宋"/>
          <w:sz w:val="28"/>
          <w:szCs w:val="28"/>
        </w:rPr>
        <w:t>MEMS</w:t>
      </w:r>
      <w:r>
        <w:rPr>
          <w:rFonts w:hint="eastAsia" w:ascii="仿宋" w:hAnsi="仿宋" w:eastAsia="仿宋" w:cs="仿宋"/>
          <w:sz w:val="28"/>
          <w:szCs w:val="28"/>
        </w:rPr>
        <w:t>传感器等未来拥有巨大市场的模拟电路芯片领域都给公司发展高端新材料靶材提供了广阔的市场空间。</w:t>
      </w:r>
    </w:p>
    <w:p>
      <w:pPr>
        <w:spacing w:line="560" w:lineRule="exact"/>
        <w:ind w:firstLine="31680" w:firstLineChars="200"/>
        <w:rPr>
          <w:rFonts w:ascii="仿宋" w:hAnsi="仿宋" w:eastAsia="仿宋" w:cs="Times New Roman"/>
          <w:spacing w:val="4"/>
          <w:sz w:val="28"/>
          <w:szCs w:val="28"/>
        </w:rPr>
      </w:pPr>
      <w:r>
        <w:rPr>
          <w:rFonts w:hint="eastAsia" w:ascii="仿宋" w:hAnsi="仿宋" w:eastAsia="仿宋" w:cs="仿宋"/>
          <w:spacing w:val="4"/>
          <w:sz w:val="28"/>
          <w:szCs w:val="28"/>
        </w:rPr>
        <w:t>目前国内靶材行业已经初具规模，随着国内靶材企业的不断技术创新，在半导体、面板以及光学器件等领域出现了具备和日美跨国集团竞争的本土靶材企业。国内靶材行业龙头：</w:t>
      </w:r>
      <w:r>
        <w:rPr>
          <w:rFonts w:ascii="仿宋" w:hAnsi="仿宋" w:eastAsia="仿宋" w:cs="仿宋"/>
          <w:spacing w:val="4"/>
          <w:sz w:val="28"/>
          <w:szCs w:val="28"/>
        </w:rPr>
        <w:t>A</w:t>
      </w:r>
      <w:r>
        <w:rPr>
          <w:rFonts w:hint="eastAsia" w:ascii="仿宋" w:hAnsi="仿宋" w:eastAsia="仿宋" w:cs="仿宋"/>
          <w:spacing w:val="4"/>
          <w:sz w:val="28"/>
          <w:szCs w:val="28"/>
        </w:rPr>
        <w:t>股上市公司江丰电子、有研新材子公司有研亿金、福建阿石创、以及隆华节能旗下子公司四丰电子和晶联光电，目前已经初具规模。非上市公司中有江西睿宁、江苏比昂等公司，但总体规模偏小。龙头企业江丰电子、隆华节能、有研新材、阿石创已经分别进入国内外主流半导体、平板显示、光伏、光学器件企业供应链体系，且已经在部分企业本土产线实现中大批量供货。经过多年的技术积累和研发投入，我国溅射靶材龙头企业目前已经逐渐突破国外的技术封锁，拥有了自主专利的靶材产品，目前在半导体、面板等多个领域已经初步具备和国际靶材巨头同等的竞争水平。</w:t>
      </w:r>
    </w:p>
    <w:p>
      <w:pPr>
        <w:spacing w:line="560" w:lineRule="exact"/>
        <w:ind w:firstLine="31680" w:firstLineChars="200"/>
        <w:rPr>
          <w:rFonts w:ascii="仿宋" w:hAnsi="仿宋" w:eastAsia="仿宋" w:cs="Times New Roman"/>
          <w:spacing w:val="4"/>
          <w:sz w:val="28"/>
          <w:szCs w:val="28"/>
        </w:rPr>
      </w:pPr>
      <w:r>
        <w:rPr>
          <w:rFonts w:hint="eastAsia" w:ascii="仿宋" w:hAnsi="仿宋" w:eastAsia="仿宋" w:cs="仿宋"/>
          <w:spacing w:val="4"/>
          <w:sz w:val="28"/>
          <w:szCs w:val="28"/>
        </w:rPr>
        <w:t>贵金属靶材在总的靶材中占比很小，银靶材量的量最大，估计一年的用量在</w:t>
      </w:r>
      <w:r>
        <w:rPr>
          <w:rFonts w:ascii="仿宋" w:hAnsi="仿宋" w:eastAsia="仿宋" w:cs="仿宋"/>
          <w:spacing w:val="4"/>
          <w:sz w:val="28"/>
          <w:szCs w:val="28"/>
        </w:rPr>
        <w:t>200</w:t>
      </w:r>
      <w:r>
        <w:rPr>
          <w:rFonts w:hint="eastAsia" w:ascii="仿宋" w:hAnsi="仿宋" w:eastAsia="仿宋" w:cs="仿宋"/>
          <w:spacing w:val="4"/>
          <w:sz w:val="28"/>
          <w:szCs w:val="28"/>
        </w:rPr>
        <w:t>吨。</w:t>
      </w:r>
    </w:p>
    <w:p>
      <w:pPr>
        <w:spacing w:line="560" w:lineRule="exact"/>
        <w:ind w:firstLine="31680" w:firstLineChars="200"/>
        <w:rPr>
          <w:rFonts w:ascii="仿宋" w:hAnsi="仿宋" w:eastAsia="仿宋" w:cs="Times New Roman"/>
          <w:b/>
          <w:bCs/>
          <w:sz w:val="28"/>
          <w:szCs w:val="28"/>
        </w:rPr>
      </w:pPr>
      <w:r>
        <w:rPr>
          <w:rFonts w:hint="eastAsia" w:ascii="仿宋" w:hAnsi="仿宋" w:eastAsia="仿宋" w:cs="仿宋"/>
          <w:b/>
          <w:bCs/>
          <w:sz w:val="28"/>
          <w:szCs w:val="28"/>
        </w:rPr>
        <w:t>银蒸发料</w:t>
      </w:r>
    </w:p>
    <w:p>
      <w:pPr>
        <w:ind w:firstLine="31680" w:firstLineChars="200"/>
        <w:rPr>
          <w:rFonts w:ascii="仿宋" w:hAnsi="仿宋" w:eastAsia="仿宋" w:cs="Times New Roman"/>
          <w:spacing w:val="4"/>
          <w:sz w:val="28"/>
          <w:szCs w:val="28"/>
        </w:rPr>
      </w:pPr>
      <w:r>
        <w:rPr>
          <w:rFonts w:hint="eastAsia" w:ascii="仿宋" w:hAnsi="仿宋" w:eastAsia="仿宋" w:cs="仿宋"/>
          <w:spacing w:val="4"/>
          <w:sz w:val="28"/>
          <w:szCs w:val="28"/>
        </w:rPr>
        <w:t>银蒸发料主要用于半导体电子器件、晶体振荡器等行业。用在半导体中的银蒸发料大约</w:t>
      </w:r>
      <w:r>
        <w:rPr>
          <w:rFonts w:ascii="仿宋" w:hAnsi="仿宋" w:eastAsia="仿宋" w:cs="仿宋"/>
          <w:spacing w:val="4"/>
          <w:sz w:val="28"/>
          <w:szCs w:val="28"/>
        </w:rPr>
        <w:t>100</w:t>
      </w:r>
      <w:r>
        <w:rPr>
          <w:rFonts w:hint="eastAsia" w:ascii="仿宋" w:hAnsi="仿宋" w:eastAsia="仿宋" w:cs="仿宋"/>
          <w:spacing w:val="4"/>
          <w:sz w:val="28"/>
          <w:szCs w:val="28"/>
        </w:rPr>
        <w:t>吨</w:t>
      </w:r>
      <w:r>
        <w:rPr>
          <w:rFonts w:ascii="仿宋" w:hAnsi="仿宋" w:eastAsia="仿宋" w:cs="仿宋"/>
          <w:spacing w:val="4"/>
          <w:sz w:val="28"/>
          <w:szCs w:val="28"/>
        </w:rPr>
        <w:t>/</w:t>
      </w:r>
      <w:r>
        <w:rPr>
          <w:rFonts w:hint="eastAsia" w:ascii="仿宋" w:hAnsi="仿宋" w:eastAsia="仿宋" w:cs="仿宋"/>
          <w:spacing w:val="4"/>
          <w:sz w:val="28"/>
          <w:szCs w:val="28"/>
        </w:rPr>
        <w:t>年。银蒸发料的生产工艺比较简单，而且成膜溅射用设备投资不大，因此有市场需求。</w:t>
      </w:r>
    </w:p>
    <w:p>
      <w:pPr>
        <w:ind w:firstLine="31680" w:firstLineChars="200"/>
        <w:rPr>
          <w:rFonts w:ascii="仿宋" w:hAnsi="仿宋" w:eastAsia="仿宋" w:cs="Times New Roman"/>
          <w:spacing w:val="4"/>
          <w:sz w:val="28"/>
          <w:szCs w:val="28"/>
        </w:rPr>
      </w:pPr>
      <w:r>
        <w:rPr>
          <w:rFonts w:hint="eastAsia" w:ascii="仿宋" w:hAnsi="仿宋" w:eastAsia="仿宋" w:cs="仿宋"/>
          <w:spacing w:val="4"/>
          <w:sz w:val="28"/>
          <w:szCs w:val="28"/>
        </w:rPr>
        <w:t>用于半导体中的银靶材设备投资比较高，生产工艺比较复杂。但成膜好，因此有部分银蒸发料的产能在向银靶材转移。</w:t>
      </w:r>
    </w:p>
    <w:p>
      <w:pPr>
        <w:ind w:firstLine="31680" w:firstLineChars="200"/>
        <w:rPr>
          <w:rFonts w:ascii="仿宋" w:hAnsi="仿宋" w:eastAsia="仿宋" w:cs="Times New Roman"/>
          <w:b/>
          <w:bCs/>
          <w:spacing w:val="4"/>
          <w:sz w:val="28"/>
          <w:szCs w:val="28"/>
        </w:rPr>
      </w:pPr>
      <w:r>
        <w:rPr>
          <w:rFonts w:hint="eastAsia" w:ascii="仿宋" w:hAnsi="仿宋" w:eastAsia="仿宋" w:cs="仿宋"/>
          <w:b/>
          <w:bCs/>
          <w:spacing w:val="4"/>
          <w:sz w:val="28"/>
          <w:szCs w:val="28"/>
        </w:rPr>
        <w:t>键合银丝及银合金丝</w:t>
      </w:r>
    </w:p>
    <w:p>
      <w:pPr>
        <w:spacing w:line="560" w:lineRule="exact"/>
        <w:ind w:firstLine="31680" w:firstLineChars="200"/>
        <w:rPr>
          <w:rFonts w:ascii="仿宋" w:hAnsi="仿宋" w:eastAsia="仿宋" w:cs="Times New Roman"/>
          <w:spacing w:val="4"/>
          <w:sz w:val="28"/>
          <w:szCs w:val="28"/>
        </w:rPr>
      </w:pPr>
      <w:r>
        <w:rPr>
          <w:rFonts w:hint="eastAsia" w:ascii="仿宋" w:hAnsi="仿宋" w:eastAsia="仿宋" w:cs="仿宋"/>
          <w:spacing w:val="4"/>
          <w:sz w:val="28"/>
          <w:szCs w:val="28"/>
        </w:rPr>
        <w:t>键合银丝用于半导体封装行业，为降低成本，加入其它贱金属以降低银的含量。估计全年的银用量在</w:t>
      </w:r>
      <w:r>
        <w:rPr>
          <w:rFonts w:ascii="仿宋" w:hAnsi="仿宋" w:eastAsia="仿宋" w:cs="仿宋"/>
          <w:spacing w:val="4"/>
          <w:sz w:val="28"/>
          <w:szCs w:val="28"/>
        </w:rPr>
        <w:t>15</w:t>
      </w:r>
      <w:r>
        <w:rPr>
          <w:rFonts w:hint="eastAsia" w:ascii="仿宋" w:hAnsi="仿宋" w:eastAsia="仿宋" w:cs="仿宋"/>
          <w:spacing w:val="4"/>
          <w:sz w:val="28"/>
          <w:szCs w:val="28"/>
        </w:rPr>
        <w:t>吨左右。</w:t>
      </w:r>
    </w:p>
    <w:p>
      <w:pPr>
        <w:spacing w:line="560" w:lineRule="exact"/>
        <w:ind w:firstLine="31680" w:firstLineChars="200"/>
        <w:rPr>
          <w:rFonts w:ascii="仿宋" w:hAnsi="仿宋" w:eastAsia="仿宋" w:cs="Times New Roman"/>
          <w:b/>
          <w:bCs/>
          <w:sz w:val="28"/>
          <w:szCs w:val="28"/>
        </w:rPr>
      </w:pPr>
      <w:r>
        <w:rPr>
          <w:rFonts w:hint="eastAsia" w:ascii="仿宋" w:hAnsi="仿宋" w:eastAsia="仿宋" w:cs="仿宋"/>
          <w:b/>
          <w:bCs/>
          <w:sz w:val="28"/>
          <w:szCs w:val="28"/>
        </w:rPr>
        <w:t>抗菌行业</w:t>
      </w:r>
    </w:p>
    <w:p>
      <w:pPr>
        <w:spacing w:line="560" w:lineRule="exact"/>
        <w:ind w:firstLine="31680" w:firstLineChars="200"/>
        <w:rPr>
          <w:rFonts w:ascii="仿宋" w:hAnsi="仿宋" w:eastAsia="仿宋" w:cs="Times New Roman"/>
          <w:sz w:val="28"/>
          <w:szCs w:val="28"/>
        </w:rPr>
      </w:pPr>
      <w:r>
        <w:rPr>
          <w:rFonts w:ascii="仿宋" w:hAnsi="仿宋" w:eastAsia="仿宋" w:cs="仿宋"/>
          <w:sz w:val="28"/>
          <w:szCs w:val="28"/>
        </w:rPr>
        <w:t>2002</w:t>
      </w:r>
      <w:r>
        <w:rPr>
          <w:rFonts w:hint="eastAsia" w:ascii="仿宋" w:hAnsi="仿宋" w:eastAsia="仿宋" w:cs="仿宋"/>
          <w:sz w:val="28"/>
          <w:szCs w:val="28"/>
        </w:rPr>
        <w:t>年新冠肺炎疫情的流行，原有的社会生产和生活以及传统理念都有了很多的改变。各种抗菌产品因此在市场上得到热卖。</w:t>
      </w:r>
    </w:p>
    <w:p>
      <w:pPr>
        <w:spacing w:line="560" w:lineRule="exact"/>
        <w:ind w:firstLine="31680" w:firstLineChars="200"/>
        <w:rPr>
          <w:rFonts w:ascii="黑体" w:hAnsi="黑体" w:eastAsia="黑体" w:cs="Times New Roman"/>
        </w:rPr>
      </w:pPr>
      <w:r>
        <w:rPr>
          <w:rFonts w:hint="eastAsia" w:ascii="仿宋" w:hAnsi="仿宋" w:eastAsia="仿宋" w:cs="仿宋"/>
          <w:sz w:val="28"/>
          <w:szCs w:val="28"/>
        </w:rPr>
        <w:t>抗菌剂大体可以分为无机系、有机系和天然生物系。其中无机抗菌剂是利用银、铜、锌等金属的抗菌能力，通过物理吸附离子交换等方法，将银、铜、锌等金属（或其离子）固定在氟石、硅胶等</w:t>
      </w:r>
      <w:r>
        <w:fldChar w:fldCharType="begin"/>
      </w:r>
      <w:r>
        <w:instrText xml:space="preserve">HYPERLINK "https://www.baidu.com/s?wd=%E5%A4%9A%E5%AD%94%E6%9D%90%E6%96%99&amp;tn=SE_PcZhidaonwhc_ngpagmjz&amp;rsv_dl=gh_pc_zhidao" \t "_blank" </w:instrText>
      </w:r>
      <w:r>
        <w:fldChar w:fldCharType="separate"/>
      </w:r>
      <w:r>
        <w:rPr>
          <w:rFonts w:hint="eastAsia" w:ascii="仿宋" w:hAnsi="仿宋" w:eastAsia="仿宋" w:cs="仿宋"/>
          <w:sz w:val="28"/>
          <w:szCs w:val="28"/>
        </w:rPr>
        <w:t>多孔材料</w:t>
      </w:r>
      <w:r>
        <w:fldChar w:fldCharType="end"/>
      </w:r>
      <w:r>
        <w:rPr>
          <w:rFonts w:hint="eastAsia" w:ascii="仿宋" w:hAnsi="仿宋" w:eastAsia="仿宋" w:cs="仿宋"/>
          <w:sz w:val="28"/>
          <w:szCs w:val="28"/>
        </w:rPr>
        <w:t>的表面制成抗菌剂，然后将其加入到相应的制品中即获得具有抗菌能力的材料。银离子抗菌剂在无机抗菌剂中占有主导地位。</w:t>
      </w:r>
    </w:p>
    <w:p>
      <w:pPr>
        <w:spacing w:beforeLines="50"/>
        <w:jc w:val="center"/>
        <w:rPr>
          <w:rFonts w:ascii="黑体" w:hAnsi="黑体" w:eastAsia="黑体" w:cs="Times New Roman"/>
        </w:rPr>
      </w:pPr>
      <w:r>
        <w:rPr>
          <w:rFonts w:hint="eastAsia" w:ascii="黑体" w:hAnsi="黑体" w:eastAsia="黑体" w:cs="黑体"/>
        </w:rPr>
        <w:t>表</w:t>
      </w:r>
      <w:r>
        <w:rPr>
          <w:rFonts w:ascii="黑体" w:hAnsi="黑体" w:eastAsia="黑体" w:cs="黑体"/>
        </w:rPr>
        <w:t xml:space="preserve">5-8  </w:t>
      </w:r>
      <w:r>
        <w:rPr>
          <w:rFonts w:hint="eastAsia" w:ascii="黑体" w:hAnsi="黑体" w:eastAsia="黑体" w:cs="黑体"/>
        </w:rPr>
        <w:t>抗菌剂类别</w:t>
      </w:r>
    </w:p>
    <w:tbl>
      <w:tblPr>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
      <w:tblGrid>
        <w:gridCol w:w="1148"/>
        <w:gridCol w:w="3250"/>
        <w:gridCol w:w="2409"/>
        <w:gridCol w:w="2479"/>
      </w:tblGrid>
      <w:tr>
        <w:trPr>
          <w:jc w:val="center"/>
        </w:trPr>
        <w:tc>
          <w:tcPr>
            <w:tcW w:w="1148" w:type="dxa"/>
            <w:shd w:val="clear" w:color="auto" w:fill="D9D9D9"/>
            <w:vAlign w:val="center"/>
          </w:tcPr>
          <w:p>
            <w:pPr>
              <w:jc w:val="center"/>
              <w:rPr>
                <w:rFonts w:cs="Times New Roman"/>
                <w:b/>
                <w:bCs/>
              </w:rPr>
            </w:pPr>
            <w:r>
              <w:rPr>
                <w:rFonts w:hint="eastAsia" w:cs="宋体"/>
                <w:b/>
                <w:bCs/>
              </w:rPr>
              <w:t>抗菌剂类别</w:t>
            </w:r>
          </w:p>
        </w:tc>
        <w:tc>
          <w:tcPr>
            <w:tcW w:w="3250" w:type="dxa"/>
            <w:shd w:val="clear" w:color="auto" w:fill="D9D9D9"/>
            <w:vAlign w:val="center"/>
          </w:tcPr>
          <w:p>
            <w:pPr>
              <w:jc w:val="center"/>
              <w:rPr>
                <w:rFonts w:cs="Times New Roman"/>
                <w:b/>
                <w:bCs/>
              </w:rPr>
            </w:pPr>
            <w:r>
              <w:rPr>
                <w:rFonts w:hint="eastAsia" w:cs="宋体"/>
                <w:b/>
                <w:bCs/>
              </w:rPr>
              <w:t>主要品种</w:t>
            </w:r>
          </w:p>
        </w:tc>
        <w:tc>
          <w:tcPr>
            <w:tcW w:w="2409" w:type="dxa"/>
            <w:shd w:val="clear" w:color="auto" w:fill="D9D9D9"/>
            <w:vAlign w:val="center"/>
          </w:tcPr>
          <w:p>
            <w:pPr>
              <w:jc w:val="center"/>
              <w:rPr>
                <w:rFonts w:cs="Times New Roman"/>
                <w:b/>
                <w:bCs/>
              </w:rPr>
            </w:pPr>
            <w:r>
              <w:rPr>
                <w:rFonts w:hint="eastAsia" w:cs="宋体"/>
                <w:b/>
                <w:bCs/>
              </w:rPr>
              <w:t>优点</w:t>
            </w:r>
          </w:p>
        </w:tc>
        <w:tc>
          <w:tcPr>
            <w:tcW w:w="2479" w:type="dxa"/>
            <w:shd w:val="clear" w:color="auto" w:fill="D9D9D9"/>
            <w:vAlign w:val="center"/>
          </w:tcPr>
          <w:p>
            <w:pPr>
              <w:jc w:val="center"/>
              <w:rPr>
                <w:rFonts w:cs="Times New Roman"/>
                <w:b/>
                <w:bCs/>
              </w:rPr>
            </w:pPr>
            <w:r>
              <w:rPr>
                <w:rFonts w:hint="eastAsia" w:cs="宋体"/>
                <w:b/>
                <w:bCs/>
              </w:rPr>
              <w:t>缺点</w:t>
            </w:r>
          </w:p>
        </w:tc>
      </w:tr>
      <w:tr>
        <w:trPr>
          <w:jc w:val="center"/>
        </w:trPr>
        <w:tc>
          <w:tcPr>
            <w:tcW w:w="1148" w:type="dxa"/>
            <w:vAlign w:val="center"/>
          </w:tcPr>
          <w:p>
            <w:pPr>
              <w:jc w:val="center"/>
              <w:rPr>
                <w:rFonts w:cs="Times New Roman"/>
                <w:b/>
                <w:bCs/>
              </w:rPr>
            </w:pPr>
            <w:r>
              <w:rPr>
                <w:rFonts w:hint="eastAsia" w:cs="宋体"/>
                <w:b/>
                <w:bCs/>
              </w:rPr>
              <w:t>银无机抗菌剂</w:t>
            </w:r>
          </w:p>
        </w:tc>
        <w:tc>
          <w:tcPr>
            <w:tcW w:w="3250" w:type="dxa"/>
            <w:vAlign w:val="top"/>
          </w:tcPr>
          <w:p>
            <w:pPr>
              <w:jc w:val="left"/>
              <w:rPr>
                <w:rFonts w:cs="Times New Roman"/>
              </w:rPr>
            </w:pPr>
            <w:r>
              <w:rPr>
                <w:rFonts w:hint="eastAsia" w:cs="宋体"/>
              </w:rPr>
              <w:t>银沸石、银活性炭、银硅胶、银玻璃珠、银羟基磷灰石基抗菌剂、磷酸钛盐、磷酸锆盐、银陶瓷等</w:t>
            </w:r>
          </w:p>
        </w:tc>
        <w:tc>
          <w:tcPr>
            <w:tcW w:w="2409" w:type="dxa"/>
            <w:vAlign w:val="top"/>
          </w:tcPr>
          <w:p>
            <w:pPr>
              <w:jc w:val="left"/>
              <w:rPr>
                <w:rFonts w:cs="Times New Roman"/>
              </w:rPr>
            </w:pPr>
            <w:r>
              <w:rPr>
                <w:rFonts w:hint="eastAsia" w:cs="宋体"/>
              </w:rPr>
              <w:t>耐热性好、抗菌谱广、有效抗菌期长、毒性低、不产生耐药性</w:t>
            </w:r>
          </w:p>
        </w:tc>
        <w:tc>
          <w:tcPr>
            <w:tcW w:w="2479" w:type="dxa"/>
            <w:vAlign w:val="top"/>
          </w:tcPr>
          <w:p>
            <w:pPr>
              <w:jc w:val="left"/>
              <w:rPr>
                <w:rFonts w:cs="Times New Roman"/>
              </w:rPr>
            </w:pPr>
            <w:r>
              <w:rPr>
                <w:rFonts w:hint="eastAsia" w:cs="宋体"/>
              </w:rPr>
              <w:t>银系抗菌剂易变色、制造困难、在塑料中使用工艺复杂</w:t>
            </w:r>
          </w:p>
        </w:tc>
      </w:tr>
      <w:tr>
        <w:trPr>
          <w:jc w:val="center"/>
        </w:trPr>
        <w:tc>
          <w:tcPr>
            <w:tcW w:w="1148" w:type="dxa"/>
            <w:vAlign w:val="center"/>
          </w:tcPr>
          <w:p>
            <w:pPr>
              <w:jc w:val="center"/>
              <w:rPr>
                <w:rFonts w:cs="Times New Roman"/>
                <w:b/>
                <w:bCs/>
              </w:rPr>
            </w:pPr>
            <w:r>
              <w:rPr>
                <w:rFonts w:hint="eastAsia" w:cs="宋体"/>
                <w:b/>
                <w:bCs/>
              </w:rPr>
              <w:t>有机抗菌剂</w:t>
            </w:r>
          </w:p>
        </w:tc>
        <w:tc>
          <w:tcPr>
            <w:tcW w:w="3250" w:type="dxa"/>
            <w:vAlign w:val="top"/>
          </w:tcPr>
          <w:p>
            <w:pPr>
              <w:jc w:val="left"/>
              <w:rPr>
                <w:rFonts w:cs="Times New Roman"/>
              </w:rPr>
            </w:pPr>
            <w:r>
              <w:rPr>
                <w:rFonts w:hint="eastAsia" w:cs="宋体"/>
              </w:rPr>
              <w:t>季铵盐、酚醚类、苯酚类、双胍类、异噻唑类、吡咯类、有机金属类、咪唑类、吡啶类、噻唑类</w:t>
            </w:r>
          </w:p>
        </w:tc>
        <w:tc>
          <w:tcPr>
            <w:tcW w:w="2409" w:type="dxa"/>
            <w:vAlign w:val="top"/>
          </w:tcPr>
          <w:p>
            <w:pPr>
              <w:jc w:val="left"/>
              <w:rPr>
                <w:rFonts w:cs="Times New Roman"/>
              </w:rPr>
            </w:pPr>
            <w:r>
              <w:rPr>
                <w:rFonts w:hint="eastAsia" w:cs="宋体"/>
              </w:rPr>
              <w:t>杀菌速度快、部分抗菌剂无毒、加工方便、颜色稳定好</w:t>
            </w:r>
          </w:p>
        </w:tc>
        <w:tc>
          <w:tcPr>
            <w:tcW w:w="2479" w:type="dxa"/>
            <w:vAlign w:val="top"/>
          </w:tcPr>
          <w:p>
            <w:pPr>
              <w:jc w:val="left"/>
              <w:rPr>
                <w:rFonts w:cs="Times New Roman"/>
              </w:rPr>
            </w:pPr>
            <w:r>
              <w:rPr>
                <w:rFonts w:hint="eastAsia" w:cs="宋体"/>
              </w:rPr>
              <w:t>耐热性差、易在溶剂环境中析出、易产生耐药性、分解产物有毒</w:t>
            </w:r>
          </w:p>
        </w:tc>
      </w:tr>
    </w:tbl>
    <w:p>
      <w:pPr>
        <w:spacing w:line="560" w:lineRule="exact"/>
        <w:ind w:firstLine="31680" w:firstLineChars="200"/>
        <w:rPr>
          <w:rFonts w:ascii="仿宋" w:hAnsi="仿宋" w:eastAsia="仿宋" w:cs="Times New Roman"/>
          <w:sz w:val="28"/>
          <w:szCs w:val="28"/>
        </w:rPr>
      </w:pPr>
      <w:r>
        <w:rPr>
          <w:rFonts w:hint="eastAsia" w:ascii="仿宋" w:hAnsi="仿宋" w:eastAsia="仿宋" w:cs="仿宋"/>
          <w:b/>
          <w:bCs/>
          <w:sz w:val="28"/>
          <w:szCs w:val="28"/>
        </w:rPr>
        <w:t>银系抗菌剂</w:t>
      </w:r>
      <w:r>
        <w:rPr>
          <w:rFonts w:hint="eastAsia" w:ascii="仿宋" w:hAnsi="仿宋" w:eastAsia="仿宋" w:cs="仿宋"/>
          <w:sz w:val="28"/>
          <w:szCs w:val="28"/>
        </w:rPr>
        <w:t>主要应用于以下领域。</w:t>
      </w:r>
    </w:p>
    <w:p>
      <w:pPr>
        <w:spacing w:line="560" w:lineRule="exact"/>
        <w:ind w:firstLine="31680" w:firstLineChars="200"/>
        <w:rPr>
          <w:rFonts w:ascii="仿宋" w:hAnsi="仿宋" w:eastAsia="仿宋" w:cs="Times New Roman"/>
          <w:sz w:val="28"/>
          <w:szCs w:val="28"/>
        </w:rPr>
      </w:pPr>
      <w:r>
        <w:rPr>
          <w:rFonts w:hint="eastAsia" w:ascii="仿宋" w:hAnsi="仿宋" w:eastAsia="仿宋" w:cs="仿宋"/>
          <w:sz w:val="28"/>
          <w:szCs w:val="28"/>
        </w:rPr>
        <w:t>抗菌塑料在厨卫设施、家用电器、家居建材中的应用：家电产品：冰箱、洗衣机、空调、饮水机、各种遥控器；电子通讯和办公用品：电话机、手机、计算机键盘；建材和室内装修：饮用水水管、人造大理石台面。</w:t>
      </w:r>
    </w:p>
    <w:p>
      <w:pPr>
        <w:spacing w:line="560" w:lineRule="exact"/>
        <w:ind w:firstLine="31680" w:firstLineChars="200"/>
        <w:rPr>
          <w:rFonts w:ascii="仿宋" w:hAnsi="仿宋" w:eastAsia="仿宋" w:cs="Times New Roman"/>
          <w:sz w:val="28"/>
          <w:szCs w:val="28"/>
        </w:rPr>
      </w:pPr>
      <w:r>
        <w:rPr>
          <w:rFonts w:hint="eastAsia" w:ascii="仿宋" w:hAnsi="仿宋" w:eastAsia="仿宋" w:cs="仿宋"/>
          <w:sz w:val="28"/>
          <w:szCs w:val="28"/>
        </w:rPr>
        <w:t>在纺织制品中的应用：服装：羽绒服、内裤、袜子；卫生用品：口罩、妇女卫生巾；生活用品：各种鞋、鞋垫；家电：空调过滤网；床上用品：床单、被罩；家用纺织：地毯。</w:t>
      </w:r>
    </w:p>
    <w:p>
      <w:pPr>
        <w:spacing w:line="560" w:lineRule="exact"/>
        <w:ind w:firstLine="31680" w:firstLineChars="200"/>
        <w:rPr>
          <w:rFonts w:ascii="仿宋" w:hAnsi="仿宋" w:eastAsia="仿宋" w:cs="Times New Roman"/>
          <w:sz w:val="28"/>
          <w:szCs w:val="28"/>
        </w:rPr>
      </w:pPr>
      <w:r>
        <w:rPr>
          <w:rFonts w:hint="eastAsia" w:ascii="仿宋" w:hAnsi="仿宋" w:eastAsia="仿宋" w:cs="仿宋"/>
          <w:sz w:val="28"/>
          <w:szCs w:val="28"/>
        </w:rPr>
        <w:t>在陶瓷制品中的应用：抽水马桶、盥洗盆、餐具、地砖、墙砖等。</w:t>
      </w:r>
    </w:p>
    <w:p>
      <w:pPr>
        <w:spacing w:line="560" w:lineRule="exact"/>
        <w:ind w:firstLine="31680" w:firstLineChars="200"/>
        <w:rPr>
          <w:rFonts w:ascii="仿宋" w:hAnsi="仿宋" w:eastAsia="仿宋" w:cs="Times New Roman"/>
          <w:sz w:val="28"/>
          <w:szCs w:val="28"/>
        </w:rPr>
      </w:pPr>
      <w:r>
        <w:rPr>
          <w:rFonts w:hint="eastAsia" w:ascii="仿宋" w:hAnsi="仿宋" w:eastAsia="仿宋" w:cs="仿宋"/>
          <w:sz w:val="28"/>
          <w:szCs w:val="28"/>
        </w:rPr>
        <w:t>在油漆涂料中的应用：苯乙烯</w:t>
      </w:r>
      <w:r>
        <w:rPr>
          <w:rFonts w:ascii="仿宋" w:hAnsi="仿宋" w:eastAsia="仿宋" w:cs="仿宋"/>
          <w:sz w:val="28"/>
          <w:szCs w:val="28"/>
        </w:rPr>
        <w:t>-</w:t>
      </w:r>
      <w:r>
        <w:rPr>
          <w:rFonts w:hint="eastAsia" w:ascii="仿宋" w:hAnsi="仿宋" w:eastAsia="仿宋" w:cs="仿宋"/>
          <w:sz w:val="28"/>
          <w:szCs w:val="28"/>
        </w:rPr>
        <w:t>丙烯酸酯乳液涂料、聚酯漆、环氧树脂粉末涂料、聚酯粉末涂料等。</w:t>
      </w:r>
    </w:p>
    <w:p>
      <w:pPr>
        <w:spacing w:line="560" w:lineRule="exact"/>
        <w:ind w:firstLine="31680" w:firstLineChars="200"/>
        <w:rPr>
          <w:rFonts w:ascii="仿宋" w:hAnsi="仿宋" w:eastAsia="仿宋" w:cs="Times New Roman"/>
          <w:sz w:val="28"/>
          <w:szCs w:val="28"/>
        </w:rPr>
      </w:pPr>
      <w:r>
        <w:rPr>
          <w:rFonts w:hint="eastAsia" w:ascii="仿宋" w:hAnsi="仿宋" w:eastAsia="仿宋" w:cs="仿宋"/>
          <w:b/>
          <w:bCs/>
          <w:sz w:val="28"/>
          <w:szCs w:val="28"/>
        </w:rPr>
        <w:t>铜系抗菌材料</w:t>
      </w:r>
      <w:r>
        <w:rPr>
          <w:rFonts w:hint="eastAsia" w:ascii="仿宋" w:hAnsi="仿宋" w:eastAsia="仿宋" w:cs="仿宋"/>
          <w:sz w:val="28"/>
          <w:szCs w:val="28"/>
        </w:rPr>
        <w:t>具有优良的抗菌性，成本低，不易变色，氧化亚铜（</w:t>
      </w:r>
      <w:r>
        <w:rPr>
          <w:rFonts w:ascii="仿宋" w:hAnsi="仿宋" w:eastAsia="仿宋" w:cs="仿宋"/>
          <w:sz w:val="28"/>
          <w:szCs w:val="28"/>
        </w:rPr>
        <w:t>Cu2O</w:t>
      </w:r>
      <w:r>
        <w:rPr>
          <w:rFonts w:hint="eastAsia" w:ascii="仿宋" w:hAnsi="仿宋" w:eastAsia="仿宋" w:cs="仿宋"/>
          <w:sz w:val="28"/>
          <w:szCs w:val="28"/>
        </w:rPr>
        <w:t>）通过吸附在细菌的细胞壁上，破坏细菌的细胞壁和细胞膜，干扰细菌正常的生理活动，使细菌凋亡。在美国环保署登记注册的抑菌铜及抑菌铜合金类产品和材料超过</w:t>
      </w:r>
      <w:r>
        <w:rPr>
          <w:rFonts w:ascii="仿宋" w:hAnsi="仿宋" w:eastAsia="仿宋" w:cs="仿宋"/>
          <w:sz w:val="28"/>
          <w:szCs w:val="28"/>
        </w:rPr>
        <w:t>350</w:t>
      </w:r>
      <w:r>
        <w:rPr>
          <w:rFonts w:hint="eastAsia" w:ascii="仿宋" w:hAnsi="仿宋" w:eastAsia="仿宋" w:cs="仿宋"/>
          <w:sz w:val="28"/>
          <w:szCs w:val="28"/>
        </w:rPr>
        <w:t>种，颜色丰富，表面纹理多样，同时还提供富于质感与延展性的多种选择，能满足不同用户对公共接触表面抑菌性的需求。</w:t>
      </w:r>
    </w:p>
    <w:p>
      <w:pPr>
        <w:spacing w:line="560" w:lineRule="exact"/>
        <w:ind w:firstLine="31680" w:firstLineChars="200"/>
        <w:rPr>
          <w:rFonts w:ascii="仿宋" w:hAnsi="仿宋" w:eastAsia="仿宋" w:cs="Times New Roman"/>
          <w:sz w:val="28"/>
          <w:szCs w:val="28"/>
        </w:rPr>
      </w:pPr>
      <w:r>
        <w:rPr>
          <w:rFonts w:hint="eastAsia" w:ascii="仿宋" w:hAnsi="仿宋" w:eastAsia="仿宋" w:cs="仿宋"/>
          <w:sz w:val="28"/>
          <w:szCs w:val="28"/>
        </w:rPr>
        <w:t>铜系抗菌剂的应用范围有：医疗与健康、学校与公共建筑、公共交通、食物与餐饮、运动器械、家电等。</w:t>
      </w:r>
    </w:p>
    <w:p>
      <w:pPr>
        <w:spacing w:line="560" w:lineRule="exact"/>
        <w:ind w:firstLine="31680" w:firstLineChars="200"/>
        <w:rPr>
          <w:rFonts w:ascii="仿宋" w:hAnsi="仿宋" w:eastAsia="仿宋" w:cs="Times New Roman"/>
          <w:sz w:val="28"/>
          <w:szCs w:val="28"/>
        </w:rPr>
      </w:pPr>
      <w:r>
        <w:rPr>
          <w:rFonts w:hint="eastAsia" w:ascii="仿宋" w:hAnsi="仿宋" w:eastAsia="仿宋" w:cs="仿宋"/>
          <w:sz w:val="28"/>
          <w:szCs w:val="28"/>
        </w:rPr>
        <w:t>上杭县有为家电、卫浴建材等提供前端材料的产业，厦门也有如路达（厦门）工业有限公司生产厨卫家居产品的大企业。上下游可以合作经营，从材料端到产品端形成协同生产，形成特色的抗菌产品产业链。</w:t>
      </w:r>
    </w:p>
    <w:p>
      <w:pPr>
        <w:pStyle w:val="4"/>
        <w:spacing w:before="240" w:after="120" w:line="415" w:lineRule="auto"/>
        <w:rPr>
          <w:rFonts w:ascii="仿宋" w:hAnsi="仿宋" w:eastAsia="仿宋" w:cs="Times New Roman"/>
          <w:sz w:val="28"/>
          <w:szCs w:val="28"/>
        </w:rPr>
      </w:pPr>
      <w:bookmarkStart w:id="48" w:name="_Toc70684661"/>
      <w:r>
        <w:rPr>
          <w:rFonts w:ascii="仿宋" w:hAnsi="仿宋" w:eastAsia="仿宋" w:cs="仿宋"/>
          <w:sz w:val="28"/>
          <w:szCs w:val="28"/>
        </w:rPr>
        <w:t>3.</w:t>
      </w:r>
      <w:r>
        <w:rPr>
          <w:rFonts w:hint="eastAsia" w:ascii="仿宋" w:hAnsi="仿宋" w:eastAsia="仿宋" w:cs="仿宋"/>
          <w:sz w:val="28"/>
          <w:szCs w:val="28"/>
        </w:rPr>
        <w:t>铂钯</w:t>
      </w:r>
      <w:bookmarkEnd w:id="48"/>
    </w:p>
    <w:p>
      <w:pPr>
        <w:spacing w:line="540" w:lineRule="exact"/>
        <w:ind w:firstLine="31680" w:firstLineChars="200"/>
        <w:rPr>
          <w:rFonts w:ascii="仿宋" w:hAnsi="仿宋" w:eastAsia="仿宋" w:cs="Times New Roman"/>
          <w:sz w:val="28"/>
          <w:szCs w:val="28"/>
        </w:rPr>
      </w:pPr>
      <w:r>
        <w:rPr>
          <w:rFonts w:hint="eastAsia" w:ascii="仿宋" w:hAnsi="仿宋" w:eastAsia="仿宋" w:cs="仿宋"/>
          <w:sz w:val="28"/>
          <w:szCs w:val="28"/>
        </w:rPr>
        <w:t>加强对铜冶炼阳极泥中铂族金属的回收，并延伸发展铂族金属下游产品。主要发展方向为铂首饰及投资产品、汽车尾气催化剂、铂钯铑催化剂、氢燃料电池、铂高性能材料等。</w:t>
      </w:r>
    </w:p>
    <w:p>
      <w:pPr>
        <w:pStyle w:val="3"/>
        <w:rPr>
          <w:rFonts w:ascii="仿宋" w:hAnsi="仿宋" w:eastAsia="仿宋" w:cs="Times New Roman"/>
          <w:sz w:val="28"/>
          <w:szCs w:val="28"/>
        </w:rPr>
      </w:pPr>
      <w:bookmarkStart w:id="49" w:name="_Toc70684662"/>
      <w:r>
        <w:rPr>
          <w:rFonts w:hint="eastAsia" w:ascii="仿宋" w:hAnsi="仿宋" w:eastAsia="仿宋" w:cs="仿宋"/>
          <w:sz w:val="28"/>
          <w:szCs w:val="28"/>
        </w:rPr>
        <w:t>（三）稀土产业发展重点与建设项目</w:t>
      </w:r>
      <w:bookmarkEnd w:id="49"/>
    </w:p>
    <w:p>
      <w:pPr>
        <w:pStyle w:val="4"/>
        <w:spacing w:before="240" w:after="120" w:line="415" w:lineRule="auto"/>
        <w:rPr>
          <w:rFonts w:ascii="仿宋" w:hAnsi="仿宋" w:eastAsia="仿宋" w:cs="Times New Roman"/>
          <w:sz w:val="28"/>
          <w:szCs w:val="28"/>
        </w:rPr>
      </w:pPr>
      <w:bookmarkStart w:id="50" w:name="_Toc70684663"/>
      <w:r>
        <w:rPr>
          <w:rFonts w:ascii="仿宋" w:hAnsi="仿宋" w:eastAsia="仿宋" w:cs="仿宋"/>
          <w:sz w:val="28"/>
          <w:szCs w:val="28"/>
        </w:rPr>
        <w:t>1.</w:t>
      </w:r>
      <w:r>
        <w:rPr>
          <w:rFonts w:hint="eastAsia" w:ascii="仿宋" w:hAnsi="仿宋" w:eastAsia="仿宋" w:cs="仿宋"/>
          <w:sz w:val="28"/>
          <w:szCs w:val="28"/>
        </w:rPr>
        <w:t>稀土产业重点发展领域</w:t>
      </w:r>
      <w:bookmarkEnd w:id="50"/>
    </w:p>
    <w:p>
      <w:pPr>
        <w:ind w:firstLine="31680" w:firstLineChars="200"/>
        <w:rPr>
          <w:rFonts w:ascii="仿宋" w:hAnsi="仿宋" w:eastAsia="仿宋" w:cs="Times New Roman"/>
          <w:sz w:val="28"/>
          <w:szCs w:val="28"/>
        </w:rPr>
      </w:pPr>
      <w:r>
        <w:rPr>
          <w:rFonts w:hint="eastAsia" w:ascii="仿宋" w:hAnsi="仿宋" w:eastAsia="仿宋" w:cs="仿宋"/>
          <w:sz w:val="28"/>
          <w:szCs w:val="28"/>
        </w:rPr>
        <w:t>总体来看，在龙岩市现有的稀土产业链中，上游的稀土矿山和冶炼分离已比较成熟，下游应用领域的稀土磁材及表面处理厂、稀土合金生产线也已建成，未来需要加强向高尖端产品精深加工的转化，实现产业升级。即依托金龙稀土、雷生科技、中油（长汀）催化剂等企业，重点围绕稀土永磁材料、晶体材料、催化材料、合金材料等应用方向，积极引进永磁电机、核磁共振仪、安检仪、医学成像</w:t>
      </w:r>
      <w:r>
        <w:rPr>
          <w:rFonts w:ascii="仿宋" w:hAnsi="仿宋" w:eastAsia="仿宋" w:cs="仿宋"/>
          <w:sz w:val="28"/>
          <w:szCs w:val="28"/>
        </w:rPr>
        <w:t>PET</w:t>
      </w:r>
      <w:r>
        <w:rPr>
          <w:rFonts w:hint="eastAsia" w:ascii="仿宋" w:hAnsi="仿宋" w:eastAsia="仿宋" w:cs="仿宋"/>
          <w:sz w:val="28"/>
          <w:szCs w:val="28"/>
        </w:rPr>
        <w:t>、激光美容仪、固体激光切割机、稀土脱硝催化剂等项目。重点抓好金龙稀土钕铁硼三期</w:t>
      </w:r>
      <w:r>
        <w:rPr>
          <w:rFonts w:ascii="仿宋" w:hAnsi="仿宋" w:eastAsia="仿宋" w:cs="仿宋"/>
          <w:sz w:val="28"/>
          <w:szCs w:val="28"/>
        </w:rPr>
        <w:t>4000</w:t>
      </w:r>
      <w:r>
        <w:rPr>
          <w:rFonts w:hint="eastAsia" w:ascii="仿宋" w:hAnsi="仿宋" w:eastAsia="仿宋" w:cs="仿宋"/>
          <w:sz w:val="28"/>
          <w:szCs w:val="28"/>
        </w:rPr>
        <w:t>吨（总产能达到</w:t>
      </w:r>
      <w:r>
        <w:rPr>
          <w:rFonts w:ascii="仿宋" w:hAnsi="仿宋" w:eastAsia="仿宋" w:cs="仿宋"/>
          <w:sz w:val="28"/>
          <w:szCs w:val="28"/>
        </w:rPr>
        <w:t>10000</w:t>
      </w:r>
      <w:r>
        <w:rPr>
          <w:rFonts w:hint="eastAsia" w:ascii="仿宋" w:hAnsi="仿宋" w:eastAsia="仿宋" w:cs="仿宋"/>
          <w:sz w:val="28"/>
          <w:szCs w:val="28"/>
        </w:rPr>
        <w:t>吨）、卓尔科技稀土永磁钐钴合金等项目建设。</w:t>
      </w:r>
    </w:p>
    <w:p>
      <w:pPr>
        <w:spacing w:line="540" w:lineRule="exact"/>
        <w:ind w:firstLine="31680" w:firstLineChars="200"/>
        <w:rPr>
          <w:rFonts w:ascii="仿宋" w:hAnsi="仿宋" w:eastAsia="仿宋" w:cs="Times New Roman"/>
          <w:kern w:val="0"/>
          <w:sz w:val="28"/>
          <w:szCs w:val="28"/>
        </w:rPr>
      </w:pPr>
      <w:r>
        <w:rPr>
          <w:rFonts w:hint="eastAsia" w:ascii="仿宋" w:hAnsi="仿宋" w:eastAsia="仿宋" w:cs="仿宋"/>
          <w:kern w:val="0"/>
          <w:sz w:val="28"/>
          <w:szCs w:val="28"/>
        </w:rPr>
        <w:t>厦门钨业作为国家六大稀土集团之一，已基本完成了对福建省的稀土资源整合，是省内唯一一家拥有采矿和冶炼分离生产指标的企业，</w:t>
      </w:r>
      <w:r>
        <w:rPr>
          <w:rFonts w:ascii="仿宋" w:hAnsi="仿宋" w:eastAsia="仿宋" w:cs="仿宋"/>
          <w:kern w:val="0"/>
          <w:sz w:val="28"/>
          <w:szCs w:val="28"/>
        </w:rPr>
        <w:t>2020</w:t>
      </w:r>
      <w:r>
        <w:rPr>
          <w:rFonts w:hint="eastAsia" w:ascii="仿宋" w:hAnsi="仿宋" w:eastAsia="仿宋" w:cs="仿宋"/>
          <w:kern w:val="0"/>
          <w:sz w:val="28"/>
          <w:szCs w:val="28"/>
        </w:rPr>
        <w:t>年厦钨的采矿指标和冶炼分离指标分别为</w:t>
      </w:r>
      <w:r>
        <w:rPr>
          <w:rFonts w:ascii="仿宋" w:hAnsi="仿宋" w:eastAsia="仿宋" w:cs="仿宋"/>
          <w:kern w:val="0"/>
          <w:sz w:val="28"/>
          <w:szCs w:val="28"/>
        </w:rPr>
        <w:t>3440</w:t>
      </w:r>
      <w:r>
        <w:rPr>
          <w:rFonts w:hint="eastAsia" w:ascii="仿宋" w:hAnsi="仿宋" w:eastAsia="仿宋" w:cs="仿宋"/>
          <w:kern w:val="0"/>
          <w:sz w:val="28"/>
          <w:szCs w:val="28"/>
        </w:rPr>
        <w:t>吨和</w:t>
      </w:r>
      <w:r>
        <w:rPr>
          <w:rFonts w:ascii="仿宋" w:hAnsi="仿宋" w:eastAsia="仿宋" w:cs="仿宋"/>
          <w:kern w:val="0"/>
          <w:sz w:val="28"/>
          <w:szCs w:val="28"/>
        </w:rPr>
        <w:t>3963</w:t>
      </w:r>
      <w:r>
        <w:rPr>
          <w:rFonts w:hint="eastAsia" w:ascii="仿宋" w:hAnsi="仿宋" w:eastAsia="仿宋" w:cs="仿宋"/>
          <w:kern w:val="0"/>
          <w:sz w:val="28"/>
          <w:szCs w:val="28"/>
        </w:rPr>
        <w:t>吨。公司下属的金龙稀土现有稀土冶炼分离能力</w:t>
      </w:r>
      <w:r>
        <w:rPr>
          <w:rFonts w:ascii="仿宋" w:hAnsi="仿宋" w:eastAsia="仿宋" w:cs="仿宋"/>
          <w:kern w:val="0"/>
          <w:sz w:val="28"/>
          <w:szCs w:val="28"/>
        </w:rPr>
        <w:t>5000</w:t>
      </w:r>
      <w:r>
        <w:rPr>
          <w:rFonts w:hint="eastAsia" w:ascii="仿宋" w:hAnsi="仿宋" w:eastAsia="仿宋" w:cs="仿宋"/>
          <w:kern w:val="0"/>
          <w:sz w:val="28"/>
          <w:szCs w:val="28"/>
        </w:rPr>
        <w:t>吨</w:t>
      </w:r>
      <w:r>
        <w:rPr>
          <w:rFonts w:ascii="仿宋" w:hAnsi="仿宋" w:eastAsia="仿宋" w:cs="仿宋"/>
          <w:kern w:val="0"/>
          <w:sz w:val="28"/>
          <w:szCs w:val="28"/>
        </w:rPr>
        <w:t>/</w:t>
      </w:r>
      <w:r>
        <w:rPr>
          <w:rFonts w:hint="eastAsia" w:ascii="仿宋" w:hAnsi="仿宋" w:eastAsia="仿宋" w:cs="仿宋"/>
          <w:kern w:val="0"/>
          <w:sz w:val="28"/>
          <w:szCs w:val="28"/>
        </w:rPr>
        <w:t>年，高纯稀土氧化物和稀土金属产能各</w:t>
      </w:r>
      <w:r>
        <w:rPr>
          <w:rFonts w:ascii="仿宋" w:hAnsi="仿宋" w:eastAsia="仿宋" w:cs="仿宋"/>
          <w:kern w:val="0"/>
          <w:sz w:val="28"/>
          <w:szCs w:val="28"/>
        </w:rPr>
        <w:t>2000</w:t>
      </w:r>
      <w:r>
        <w:rPr>
          <w:rFonts w:hint="eastAsia" w:ascii="仿宋" w:hAnsi="仿宋" w:eastAsia="仿宋" w:cs="仿宋"/>
          <w:kern w:val="0"/>
          <w:sz w:val="28"/>
          <w:szCs w:val="28"/>
        </w:rPr>
        <w:t>吨</w:t>
      </w:r>
      <w:r>
        <w:rPr>
          <w:rFonts w:ascii="仿宋" w:hAnsi="仿宋" w:eastAsia="仿宋" w:cs="仿宋"/>
          <w:kern w:val="0"/>
          <w:sz w:val="28"/>
          <w:szCs w:val="28"/>
        </w:rPr>
        <w:t>/</w:t>
      </w:r>
      <w:r>
        <w:rPr>
          <w:rFonts w:hint="eastAsia" w:ascii="仿宋" w:hAnsi="仿宋" w:eastAsia="仿宋" w:cs="仿宋"/>
          <w:kern w:val="0"/>
          <w:sz w:val="28"/>
          <w:szCs w:val="28"/>
        </w:rPr>
        <w:t>年，在</w:t>
      </w:r>
      <w:r>
        <w:rPr>
          <w:rFonts w:hint="eastAsia" w:ascii="仿宋" w:hAnsi="仿宋" w:eastAsia="仿宋" w:cs="仿宋"/>
          <w:sz w:val="28"/>
          <w:szCs w:val="28"/>
        </w:rPr>
        <w:t>做好</w:t>
      </w:r>
      <w:r>
        <w:rPr>
          <w:rFonts w:hint="eastAsia" w:ascii="仿宋" w:hAnsi="仿宋" w:eastAsia="仿宋" w:cs="仿宋"/>
          <w:kern w:val="0"/>
          <w:sz w:val="28"/>
          <w:szCs w:val="28"/>
        </w:rPr>
        <w:t>稀土上游产业链的同时，积极探索发展下游稀土应用产品，先后建成了稀土永磁材料和特种金属及合金各</w:t>
      </w:r>
      <w:r>
        <w:rPr>
          <w:rFonts w:ascii="仿宋" w:hAnsi="仿宋" w:eastAsia="仿宋" w:cs="仿宋"/>
          <w:kern w:val="0"/>
          <w:sz w:val="28"/>
          <w:szCs w:val="28"/>
        </w:rPr>
        <w:t>6000</w:t>
      </w:r>
      <w:r>
        <w:rPr>
          <w:rFonts w:hint="eastAsia" w:ascii="仿宋" w:hAnsi="仿宋" w:eastAsia="仿宋" w:cs="仿宋"/>
          <w:kern w:val="0"/>
          <w:sz w:val="28"/>
          <w:szCs w:val="28"/>
        </w:rPr>
        <w:t>吨</w:t>
      </w:r>
      <w:r>
        <w:rPr>
          <w:rFonts w:ascii="仿宋" w:hAnsi="仿宋" w:eastAsia="仿宋" w:cs="仿宋"/>
          <w:kern w:val="0"/>
          <w:sz w:val="28"/>
          <w:szCs w:val="28"/>
        </w:rPr>
        <w:t>/</w:t>
      </w:r>
      <w:r>
        <w:rPr>
          <w:rFonts w:hint="eastAsia" w:ascii="仿宋" w:hAnsi="仿宋" w:eastAsia="仿宋" w:cs="仿宋"/>
          <w:kern w:val="0"/>
          <w:sz w:val="28"/>
          <w:szCs w:val="28"/>
        </w:rPr>
        <w:t>年的生产能力，以及</w:t>
      </w:r>
      <w:r>
        <w:rPr>
          <w:rFonts w:ascii="仿宋" w:hAnsi="仿宋" w:eastAsia="仿宋" w:cs="仿宋"/>
          <w:kern w:val="0"/>
          <w:sz w:val="28"/>
          <w:szCs w:val="28"/>
        </w:rPr>
        <w:t>2500</w:t>
      </w:r>
      <w:r>
        <w:rPr>
          <w:rFonts w:hint="eastAsia" w:ascii="仿宋" w:hAnsi="仿宋" w:eastAsia="仿宋" w:cs="仿宋"/>
          <w:kern w:val="0"/>
          <w:sz w:val="28"/>
          <w:szCs w:val="28"/>
        </w:rPr>
        <w:t>吨稀土永磁元器件表面处理项目</w:t>
      </w:r>
      <w:r>
        <w:rPr>
          <w:rFonts w:hint="eastAsia" w:ascii="宋体" w:hAnsi="宋体" w:cs="宋体"/>
          <w:sz w:val="32"/>
          <w:szCs w:val="32"/>
        </w:rPr>
        <w:t>，</w:t>
      </w:r>
      <w:r>
        <w:rPr>
          <w:rFonts w:hint="eastAsia" w:ascii="仿宋" w:hAnsi="仿宋" w:eastAsia="仿宋" w:cs="仿宋"/>
          <w:kern w:val="0"/>
          <w:sz w:val="28"/>
          <w:szCs w:val="28"/>
        </w:rPr>
        <w:t>并利用自身优势，在电机、储氢合金和发光材料等领域进行布局。目前厦门钨业已基本形成了从稀土矿山开发、冶炼分离、稀土功能材料和科研应用等较为完整的产业体系。此外，区域内还拥有信越科技年产</w:t>
      </w:r>
      <w:r>
        <w:rPr>
          <w:rFonts w:ascii="仿宋" w:hAnsi="仿宋" w:eastAsia="仿宋" w:cs="仿宋"/>
          <w:kern w:val="0"/>
          <w:sz w:val="28"/>
          <w:szCs w:val="28"/>
        </w:rPr>
        <w:t>3000</w:t>
      </w:r>
      <w:r>
        <w:rPr>
          <w:rFonts w:hint="eastAsia" w:ascii="仿宋" w:hAnsi="仿宋" w:eastAsia="仿宋" w:cs="仿宋"/>
          <w:kern w:val="0"/>
          <w:sz w:val="28"/>
          <w:szCs w:val="28"/>
        </w:rPr>
        <w:t>吨钕铁硼磁粉、诚质磁钢钕铁硼元器件机加工等项目。</w:t>
      </w:r>
    </w:p>
    <w:p>
      <w:pPr>
        <w:spacing w:line="540" w:lineRule="exact"/>
        <w:ind w:firstLine="31680" w:firstLineChars="200"/>
        <w:rPr>
          <w:rFonts w:ascii="仿宋" w:hAnsi="仿宋" w:eastAsia="仿宋" w:cs="Times New Roman"/>
          <w:sz w:val="28"/>
          <w:szCs w:val="28"/>
        </w:rPr>
      </w:pPr>
      <w:r>
        <w:rPr>
          <w:rFonts w:ascii="仿宋" w:hAnsi="仿宋" w:eastAsia="仿宋" w:cs="仿宋"/>
          <w:sz w:val="28"/>
          <w:szCs w:val="28"/>
        </w:rPr>
        <w:t>2020</w:t>
      </w:r>
      <w:r>
        <w:rPr>
          <w:rFonts w:hint="eastAsia" w:ascii="仿宋" w:hAnsi="仿宋" w:eastAsia="仿宋" w:cs="仿宋"/>
          <w:sz w:val="28"/>
          <w:szCs w:val="28"/>
        </w:rPr>
        <w:t>年龙岩市武平县政府提出“</w:t>
      </w:r>
      <w:r>
        <w:rPr>
          <w:rFonts w:ascii="仿宋" w:hAnsi="仿宋" w:eastAsia="仿宋" w:cs="仿宋"/>
          <w:sz w:val="28"/>
          <w:szCs w:val="28"/>
        </w:rPr>
        <w:t>1+4</w:t>
      </w:r>
      <w:r>
        <w:rPr>
          <w:rFonts w:hint="eastAsia" w:ascii="仿宋" w:hAnsi="仿宋" w:eastAsia="仿宋" w:cs="仿宋"/>
          <w:sz w:val="28"/>
          <w:szCs w:val="28"/>
        </w:rPr>
        <w:t>”先进制造业发展战略，即“把以新型显示为重点的信息产业确定为首位产业，同时大力发展机械装备制造、不锈钢家居、矿产品精深加工、农林产品精深加工产业”。其中，以新型显示为重点的信息产业具有“小、精、专、特”的特点，具有形成集群式发展的潜力。“十四五”期间，龙岩市稀土下游加工领域应综合考虑与新型显示相关产业发展的联动，针对具体新型显示项目细化研究，形成产业链上下游对接，加强招商引资工作，完善相关项目的配套引进。</w:t>
      </w:r>
    </w:p>
    <w:p>
      <w:pPr>
        <w:spacing w:line="540" w:lineRule="exact"/>
        <w:ind w:firstLine="31680" w:firstLineChars="200"/>
        <w:rPr>
          <w:rFonts w:ascii="仿宋" w:hAnsi="仿宋" w:eastAsia="仿宋" w:cs="Times New Roman"/>
          <w:sz w:val="28"/>
          <w:szCs w:val="28"/>
        </w:rPr>
      </w:pPr>
      <w:r>
        <w:rPr>
          <w:rFonts w:hint="eastAsia" w:ascii="仿宋" w:hAnsi="仿宋" w:eastAsia="仿宋" w:cs="仿宋"/>
          <w:sz w:val="28"/>
          <w:szCs w:val="28"/>
        </w:rPr>
        <w:t>以新型显示为重点的信息产业发展方向和重点主要包括印制电路板、平板显示、</w:t>
      </w:r>
      <w:r>
        <w:rPr>
          <w:rFonts w:ascii="仿宋" w:hAnsi="仿宋" w:eastAsia="仿宋" w:cs="仿宋"/>
          <w:sz w:val="28"/>
          <w:szCs w:val="28"/>
        </w:rPr>
        <w:t>LED</w:t>
      </w:r>
      <w:r>
        <w:rPr>
          <w:rFonts w:hint="eastAsia" w:ascii="仿宋" w:hAnsi="仿宋" w:eastAsia="仿宋" w:cs="仿宋"/>
          <w:sz w:val="28"/>
          <w:szCs w:val="28"/>
        </w:rPr>
        <w:t>照明、激光投影显示等。目前，区域内已有一家激光晶体生产企业可与激光投影显示产业链对接。</w:t>
      </w:r>
    </w:p>
    <w:p>
      <w:pPr>
        <w:spacing w:line="540" w:lineRule="exact"/>
        <w:ind w:firstLine="31680" w:firstLineChars="200"/>
        <w:rPr>
          <w:rFonts w:ascii="仿宋" w:hAnsi="仿宋" w:eastAsia="仿宋" w:cs="Times New Roman"/>
          <w:kern w:val="0"/>
          <w:sz w:val="28"/>
          <w:szCs w:val="28"/>
        </w:rPr>
      </w:pPr>
      <w:r>
        <w:rPr>
          <w:rFonts w:hint="eastAsia" w:ascii="仿宋" w:hAnsi="仿宋" w:eastAsia="仿宋" w:cs="仿宋"/>
          <w:kern w:val="0"/>
          <w:sz w:val="28"/>
          <w:szCs w:val="28"/>
        </w:rPr>
        <w:t>因此，龙岩市“十四五”规划中的稀土板块应以厦门钨业现有产业链为基础，并与其现有的其它相关产业相结合，向稀土下游应用领域做进一步的配套和拓展。同时，为加强上游原料保障能力，应加快稀土采矿权证的申请、办理工作，“十四五”期间力争办理成功两张以上的年产</w:t>
      </w:r>
      <w:r>
        <w:rPr>
          <w:rFonts w:ascii="仿宋" w:hAnsi="仿宋" w:eastAsia="仿宋" w:cs="仿宋"/>
          <w:kern w:val="0"/>
          <w:sz w:val="28"/>
          <w:szCs w:val="28"/>
        </w:rPr>
        <w:t>5</w:t>
      </w:r>
      <w:r>
        <w:rPr>
          <w:rFonts w:hint="eastAsia" w:ascii="仿宋" w:hAnsi="仿宋" w:eastAsia="仿宋" w:cs="仿宋"/>
          <w:kern w:val="0"/>
          <w:sz w:val="28"/>
          <w:szCs w:val="28"/>
        </w:rPr>
        <w:t>万吨级的稀土采矿许可证。</w:t>
      </w:r>
    </w:p>
    <w:p>
      <w:pPr>
        <w:pStyle w:val="4"/>
        <w:spacing w:before="240" w:after="120" w:line="415" w:lineRule="auto"/>
        <w:rPr>
          <w:rFonts w:ascii="仿宋" w:hAnsi="仿宋" w:eastAsia="仿宋" w:cs="Times New Roman"/>
          <w:sz w:val="28"/>
          <w:szCs w:val="28"/>
        </w:rPr>
      </w:pPr>
      <w:bookmarkStart w:id="51" w:name="_Toc70684664"/>
      <w:r>
        <w:rPr>
          <w:rFonts w:ascii="仿宋" w:hAnsi="仿宋" w:eastAsia="仿宋" w:cs="仿宋"/>
          <w:sz w:val="28"/>
          <w:szCs w:val="28"/>
        </w:rPr>
        <w:t>2.</w:t>
      </w:r>
      <w:r>
        <w:rPr>
          <w:rFonts w:hint="eastAsia" w:ascii="仿宋" w:hAnsi="仿宋" w:eastAsia="仿宋" w:cs="仿宋"/>
          <w:sz w:val="28"/>
          <w:szCs w:val="28"/>
        </w:rPr>
        <w:t>稀土产业链重点建设项目</w:t>
      </w:r>
      <w:bookmarkEnd w:id="51"/>
    </w:p>
    <w:p>
      <w:pPr>
        <w:spacing w:line="560" w:lineRule="exact"/>
        <w:ind w:firstLine="31680" w:firstLineChars="196"/>
        <w:rPr>
          <w:rFonts w:ascii="仿宋" w:hAnsi="仿宋" w:eastAsia="仿宋" w:cs="Times New Roman"/>
          <w:sz w:val="28"/>
          <w:szCs w:val="28"/>
        </w:rPr>
      </w:pPr>
      <w:r>
        <w:rPr>
          <w:rFonts w:hint="eastAsia" w:ascii="仿宋" w:hAnsi="仿宋" w:eastAsia="仿宋" w:cs="仿宋"/>
          <w:sz w:val="28"/>
          <w:szCs w:val="28"/>
        </w:rPr>
        <w:t>根据龙岩市和厦门钨业现有稀土产业链，规划重点项目如下：</w:t>
      </w:r>
    </w:p>
    <w:p>
      <w:pPr>
        <w:spacing w:line="560" w:lineRule="exact"/>
        <w:ind w:firstLine="31680" w:firstLineChars="196"/>
        <w:rPr>
          <w:rFonts w:ascii="仿宋" w:hAnsi="仿宋" w:eastAsia="仿宋" w:cs="Times New Roman"/>
          <w:sz w:val="28"/>
          <w:szCs w:val="28"/>
        </w:rPr>
      </w:pPr>
      <w:r>
        <w:rPr>
          <w:rFonts w:hint="eastAsia" w:ascii="仿宋" w:hAnsi="仿宋" w:eastAsia="仿宋" w:cs="仿宋"/>
          <w:sz w:val="28"/>
          <w:szCs w:val="28"/>
        </w:rPr>
        <w:t>（</w:t>
      </w:r>
      <w:r>
        <w:rPr>
          <w:rFonts w:ascii="仿宋" w:hAnsi="仿宋" w:eastAsia="仿宋" w:cs="仿宋"/>
          <w:sz w:val="28"/>
          <w:szCs w:val="28"/>
        </w:rPr>
        <w:t>1</w:t>
      </w:r>
      <w:r>
        <w:rPr>
          <w:rFonts w:hint="eastAsia" w:ascii="仿宋" w:hAnsi="仿宋" w:eastAsia="仿宋" w:cs="仿宋"/>
          <w:sz w:val="28"/>
          <w:szCs w:val="28"/>
        </w:rPr>
        <w:t>）提高高性能钕铁硼生产线产能，与厦门钨业在集美建设中的电机产业园相配套。龙岩现有稀土磁材产能</w:t>
      </w:r>
      <w:r>
        <w:rPr>
          <w:rFonts w:ascii="仿宋" w:hAnsi="仿宋" w:eastAsia="仿宋" w:cs="仿宋"/>
          <w:sz w:val="28"/>
          <w:szCs w:val="28"/>
        </w:rPr>
        <w:t>9000t/a</w:t>
      </w:r>
      <w:r>
        <w:rPr>
          <w:rFonts w:hint="eastAsia" w:ascii="仿宋" w:hAnsi="仿宋" w:eastAsia="仿宋" w:cs="仿宋"/>
          <w:sz w:val="28"/>
          <w:szCs w:val="28"/>
        </w:rPr>
        <w:t>，其中，长汀金龙稀土公司磁材产能</w:t>
      </w:r>
      <w:r>
        <w:rPr>
          <w:rFonts w:ascii="仿宋" w:hAnsi="仿宋" w:eastAsia="仿宋" w:cs="仿宋"/>
          <w:sz w:val="28"/>
          <w:szCs w:val="28"/>
        </w:rPr>
        <w:t>6000t/a,</w:t>
      </w:r>
      <w:r>
        <w:rPr>
          <w:rFonts w:hint="eastAsia" w:ascii="仿宋" w:hAnsi="仿宋" w:eastAsia="仿宋" w:cs="仿宋"/>
          <w:sz w:val="28"/>
          <w:szCs w:val="28"/>
        </w:rPr>
        <w:t>并计划扩建产能至</w:t>
      </w:r>
      <w:r>
        <w:rPr>
          <w:rFonts w:ascii="仿宋" w:hAnsi="仿宋" w:eastAsia="仿宋" w:cs="仿宋"/>
          <w:sz w:val="28"/>
          <w:szCs w:val="28"/>
        </w:rPr>
        <w:t>10000 t/a</w:t>
      </w:r>
      <w:r>
        <w:rPr>
          <w:rFonts w:hint="eastAsia" w:ascii="仿宋" w:hAnsi="仿宋" w:eastAsia="仿宋" w:cs="仿宋"/>
          <w:sz w:val="28"/>
          <w:szCs w:val="28"/>
        </w:rPr>
        <w:t>。为了满足</w:t>
      </w:r>
      <w:r>
        <w:rPr>
          <w:rFonts w:ascii="仿宋" w:hAnsi="仿宋" w:eastAsia="仿宋" w:cs="仿宋"/>
          <w:sz w:val="28"/>
          <w:szCs w:val="28"/>
        </w:rPr>
        <w:t>5G</w:t>
      </w:r>
      <w:r>
        <w:rPr>
          <w:rFonts w:hint="eastAsia" w:ascii="仿宋" w:hAnsi="仿宋" w:eastAsia="仿宋" w:cs="仿宋"/>
          <w:sz w:val="28"/>
          <w:szCs w:val="28"/>
        </w:rPr>
        <w:t>、空调压缩机、高铁动车牵引电机、风力电机组、电动汽车驱动马达等领域市场需求的增长，应进一步增加高性能钕铁硼产能。</w:t>
      </w:r>
    </w:p>
    <w:p>
      <w:pPr>
        <w:spacing w:line="560" w:lineRule="exact"/>
        <w:ind w:firstLine="31680" w:firstLineChars="196"/>
        <w:rPr>
          <w:rFonts w:ascii="仿宋" w:hAnsi="仿宋" w:eastAsia="仿宋" w:cs="Times New Roman"/>
          <w:sz w:val="28"/>
          <w:szCs w:val="28"/>
        </w:rPr>
      </w:pPr>
      <w:r>
        <w:rPr>
          <w:rFonts w:hint="eastAsia" w:ascii="仿宋" w:hAnsi="仿宋" w:eastAsia="仿宋" w:cs="仿宋"/>
          <w:sz w:val="28"/>
          <w:szCs w:val="28"/>
        </w:rPr>
        <w:t>（</w:t>
      </w:r>
      <w:r>
        <w:rPr>
          <w:rFonts w:ascii="仿宋" w:hAnsi="仿宋" w:eastAsia="仿宋" w:cs="仿宋"/>
          <w:sz w:val="28"/>
          <w:szCs w:val="28"/>
        </w:rPr>
        <w:t>2</w:t>
      </w:r>
      <w:r>
        <w:rPr>
          <w:rFonts w:hint="eastAsia" w:ascii="仿宋" w:hAnsi="仿宋" w:eastAsia="仿宋" w:cs="仿宋"/>
          <w:sz w:val="28"/>
          <w:szCs w:val="28"/>
        </w:rPr>
        <w:t>）建设镍氢动力电池生产项目。上游与厦门钨业海沧的</w:t>
      </w:r>
      <w:r>
        <w:rPr>
          <w:rFonts w:ascii="仿宋" w:hAnsi="仿宋" w:eastAsia="仿宋" w:cs="仿宋"/>
          <w:sz w:val="28"/>
          <w:szCs w:val="28"/>
        </w:rPr>
        <w:t>5000t/a</w:t>
      </w:r>
      <w:r>
        <w:rPr>
          <w:rFonts w:hint="eastAsia" w:ascii="仿宋" w:hAnsi="仿宋" w:eastAsia="仿宋" w:cs="仿宋"/>
          <w:sz w:val="28"/>
          <w:szCs w:val="28"/>
        </w:rPr>
        <w:t>储氢合金生产线对接，下游配套龙岩市的新龙马、龙马环卫等公司的新能源专用车。</w:t>
      </w:r>
    </w:p>
    <w:p>
      <w:pPr>
        <w:spacing w:line="440" w:lineRule="exact"/>
        <w:ind w:firstLine="480"/>
        <w:rPr>
          <w:rFonts w:ascii="华文仿宋" w:hAnsi="华文仿宋" w:eastAsia="华文仿宋" w:cs="Times New Roman"/>
          <w:kern w:val="0"/>
          <w:sz w:val="28"/>
          <w:szCs w:val="28"/>
        </w:rPr>
      </w:pPr>
      <w:r>
        <w:rPr>
          <w:rFonts w:ascii="Calibri" w:hAnsi="Calibri" w:eastAsia="宋体" w:cs="Calibri"/>
          <w:kern w:val="2"/>
          <w:sz w:val="21"/>
          <w:szCs w:val="21"/>
          <w:lang w:val="en-US" w:eastAsia="zh-CN" w:bidi="ar-SA"/>
        </w:rPr>
        <w:pict>
          <v:shape id="图片 61" o:spid="_x0000_s1038" type="#_x0000_t75" style="position:absolute;left:0;margin-left:17.15pt;margin-top:252pt;height:404.35pt;width:415.3pt;mso-position-horizontal-relative:margin;mso-wrap-distance-bottom:0pt;mso-wrap-distance-left:9pt;mso-wrap-distance-right:9pt;mso-wrap-distance-top:0pt;rotation:0f;z-index:251660288;" o:ole="f" fillcolor="#FFFFFF" filled="f" o:preferrelative="t" stroked="f" coordorigin="0,0" coordsize="21600,21600">
            <v:fill on="f" color2="#FFFFFF" focus="0%"/>
            <v:imagedata gain="65536f" blacklevel="0f" gamma="0" o:title="" r:id="rId18"/>
            <o:lock v:ext="edit" position="f" selection="f" grouping="f" rotation="f" cropping="f" text="f" aspectratio="t"/>
            <w10:wrap type="square"/>
          </v:shape>
        </w:pict>
      </w:r>
      <w:r>
        <w:rPr>
          <w:rFonts w:ascii="Calibri" w:hAnsi="Calibri" w:eastAsia="宋体" w:cs="Calibri"/>
          <w:kern w:val="2"/>
          <w:sz w:val="21"/>
          <w:szCs w:val="21"/>
          <w:lang w:val="en-US" w:eastAsia="zh-CN" w:bidi="ar-SA"/>
        </w:rPr>
        <w:pict>
          <v:shape id="图片 1" o:spid="_x0000_s1039" type="#_x0000_t75" style="position:absolute;left:0;margin-left:16.9pt;margin-top:9.2pt;height:206.35pt;width:415.75pt;mso-position-horizontal-relative:margin;mso-wrap-distance-bottom:0pt;mso-wrap-distance-top:0pt;rotation:0f;z-index:251659264;" o:ole="f" fillcolor="#FFFFFF" filled="f" o:preferrelative="t" stroked="f" coordorigin="0,0" coordsize="21600,21600">
            <v:fill on="f" color2="#FFFFFF" focus="0%"/>
            <v:imagedata gain="65536f" blacklevel="0f" gamma="0" o:title="" r:id="rId19"/>
            <o:lock v:ext="edit" position="f" selection="f" grouping="f" rotation="f" cropping="f" text="f" aspectratio="t"/>
            <w10:wrap type="topAndBottom"/>
          </v:shape>
        </w:pict>
      </w:r>
    </w:p>
    <w:p>
      <w:pPr>
        <w:spacing w:line="440" w:lineRule="exact"/>
        <w:ind w:firstLine="480"/>
        <w:rPr>
          <w:rFonts w:ascii="华文仿宋" w:hAnsi="华文仿宋" w:eastAsia="华文仿宋" w:cs="Times New Roman"/>
          <w:kern w:val="0"/>
          <w:sz w:val="28"/>
          <w:szCs w:val="28"/>
        </w:rPr>
      </w:pPr>
    </w:p>
    <w:p>
      <w:pPr>
        <w:spacing w:line="560" w:lineRule="exact"/>
        <w:ind w:firstLine="31680" w:firstLineChars="196"/>
        <w:rPr>
          <w:rFonts w:ascii="仿宋" w:hAnsi="仿宋" w:eastAsia="仿宋" w:cs="Times New Roman"/>
          <w:sz w:val="28"/>
          <w:szCs w:val="28"/>
        </w:rPr>
      </w:pPr>
      <w:r>
        <w:rPr>
          <w:rFonts w:hint="eastAsia" w:ascii="仿宋" w:hAnsi="仿宋" w:eastAsia="仿宋" w:cs="仿宋"/>
          <w:sz w:val="28"/>
          <w:szCs w:val="28"/>
        </w:rPr>
        <w:t>（</w:t>
      </w:r>
      <w:r>
        <w:rPr>
          <w:rFonts w:ascii="仿宋" w:hAnsi="仿宋" w:eastAsia="仿宋" w:cs="仿宋"/>
          <w:sz w:val="28"/>
          <w:szCs w:val="28"/>
        </w:rPr>
        <w:t>3</w:t>
      </w:r>
      <w:r>
        <w:rPr>
          <w:rFonts w:hint="eastAsia" w:ascii="仿宋" w:hAnsi="仿宋" w:eastAsia="仿宋" w:cs="仿宋"/>
          <w:sz w:val="28"/>
          <w:szCs w:val="28"/>
        </w:rPr>
        <w:t>）建设稀土催化剂生产项目。建成</w:t>
      </w:r>
      <w:r>
        <w:rPr>
          <w:rFonts w:ascii="仿宋" w:hAnsi="仿宋" w:eastAsia="仿宋" w:cs="仿宋"/>
          <w:sz w:val="28"/>
          <w:szCs w:val="28"/>
        </w:rPr>
        <w:t>10</w:t>
      </w:r>
      <w:r>
        <w:rPr>
          <w:rFonts w:hint="eastAsia" w:ascii="仿宋" w:hAnsi="仿宋" w:eastAsia="仿宋" w:cs="仿宋"/>
          <w:sz w:val="28"/>
          <w:szCs w:val="28"/>
        </w:rPr>
        <w:t>万</w:t>
      </w:r>
      <w:r>
        <w:rPr>
          <w:rFonts w:ascii="仿宋" w:hAnsi="仿宋" w:eastAsia="仿宋" w:cs="仿宋"/>
          <w:sz w:val="28"/>
          <w:szCs w:val="28"/>
        </w:rPr>
        <w:t>t/a</w:t>
      </w:r>
      <w:r>
        <w:rPr>
          <w:rFonts w:hint="eastAsia" w:ascii="仿宋" w:hAnsi="仿宋" w:eastAsia="仿宋" w:cs="仿宋"/>
          <w:sz w:val="28"/>
          <w:szCs w:val="28"/>
        </w:rPr>
        <w:t>的石油裂化催化剂，目前中油（长汀）催化剂有限公司正在建设中，一期产能</w:t>
      </w:r>
      <w:r>
        <w:rPr>
          <w:rFonts w:ascii="仿宋" w:hAnsi="仿宋" w:eastAsia="仿宋" w:cs="仿宋"/>
          <w:sz w:val="28"/>
          <w:szCs w:val="28"/>
        </w:rPr>
        <w:t>5</w:t>
      </w:r>
      <w:r>
        <w:rPr>
          <w:rFonts w:hint="eastAsia" w:ascii="仿宋" w:hAnsi="仿宋" w:eastAsia="仿宋" w:cs="仿宋"/>
          <w:sz w:val="28"/>
          <w:szCs w:val="28"/>
        </w:rPr>
        <w:t>万</w:t>
      </w:r>
      <w:r>
        <w:rPr>
          <w:rFonts w:ascii="仿宋" w:hAnsi="仿宋" w:eastAsia="仿宋" w:cs="仿宋"/>
          <w:sz w:val="28"/>
          <w:szCs w:val="28"/>
        </w:rPr>
        <w:t>t/a</w:t>
      </w:r>
      <w:r>
        <w:rPr>
          <w:rFonts w:hint="eastAsia" w:ascii="仿宋" w:hAnsi="仿宋" w:eastAsia="仿宋" w:cs="仿宋"/>
          <w:sz w:val="28"/>
          <w:szCs w:val="28"/>
        </w:rPr>
        <w:t>已于</w:t>
      </w:r>
      <w:r>
        <w:rPr>
          <w:rFonts w:ascii="仿宋" w:hAnsi="仿宋" w:eastAsia="仿宋" w:cs="仿宋"/>
          <w:sz w:val="28"/>
          <w:szCs w:val="28"/>
        </w:rPr>
        <w:t>2020</w:t>
      </w:r>
      <w:r>
        <w:rPr>
          <w:rFonts w:hint="eastAsia" w:ascii="仿宋" w:hAnsi="仿宋" w:eastAsia="仿宋" w:cs="仿宋"/>
          <w:sz w:val="28"/>
          <w:szCs w:val="28"/>
        </w:rPr>
        <w:t>年</w:t>
      </w:r>
      <w:r>
        <w:rPr>
          <w:rFonts w:ascii="仿宋" w:hAnsi="仿宋" w:eastAsia="仿宋" w:cs="仿宋"/>
          <w:sz w:val="28"/>
          <w:szCs w:val="28"/>
        </w:rPr>
        <w:t>6</w:t>
      </w:r>
      <w:r>
        <w:rPr>
          <w:rFonts w:hint="eastAsia" w:ascii="仿宋" w:hAnsi="仿宋" w:eastAsia="仿宋" w:cs="仿宋"/>
          <w:sz w:val="28"/>
          <w:szCs w:val="28"/>
        </w:rPr>
        <w:t>月</w:t>
      </w:r>
      <w:r>
        <w:rPr>
          <w:rFonts w:ascii="仿宋" w:hAnsi="仿宋" w:eastAsia="仿宋" w:cs="仿宋"/>
          <w:sz w:val="28"/>
          <w:szCs w:val="28"/>
        </w:rPr>
        <w:t>29</w:t>
      </w:r>
      <w:r>
        <w:rPr>
          <w:rFonts w:hint="eastAsia" w:ascii="仿宋" w:hAnsi="仿宋" w:eastAsia="仿宋" w:cs="仿宋"/>
          <w:sz w:val="28"/>
          <w:szCs w:val="28"/>
        </w:rPr>
        <w:t>日建成投产；长汀陇和无机盐制造有限责任公司的长汀陇和催化剂配套原料项目也在建设中。</w:t>
      </w:r>
    </w:p>
    <w:p>
      <w:pPr>
        <w:spacing w:line="560" w:lineRule="exact"/>
        <w:ind w:firstLine="31680" w:firstLineChars="196"/>
        <w:rPr>
          <w:rFonts w:ascii="仿宋" w:hAnsi="仿宋" w:eastAsia="仿宋" w:cs="Times New Roman"/>
          <w:sz w:val="28"/>
          <w:szCs w:val="28"/>
        </w:rPr>
      </w:pPr>
      <w:r>
        <w:rPr>
          <w:rFonts w:hint="eastAsia" w:ascii="仿宋" w:hAnsi="仿宋" w:eastAsia="仿宋" w:cs="仿宋"/>
          <w:sz w:val="28"/>
          <w:szCs w:val="28"/>
        </w:rPr>
        <w:t>（</w:t>
      </w:r>
      <w:r>
        <w:rPr>
          <w:rFonts w:ascii="仿宋" w:hAnsi="仿宋" w:eastAsia="仿宋" w:cs="仿宋"/>
          <w:sz w:val="28"/>
          <w:szCs w:val="28"/>
        </w:rPr>
        <w:t>4</w:t>
      </w:r>
      <w:r>
        <w:rPr>
          <w:rFonts w:hint="eastAsia" w:ascii="仿宋" w:hAnsi="仿宋" w:eastAsia="仿宋" w:cs="仿宋"/>
          <w:sz w:val="28"/>
          <w:szCs w:val="28"/>
        </w:rPr>
        <w:t>）建设稀土钨合金、稀土铜合金、高铁铝合金电力电缆等项目，可与龙岩市铜、钨等产业对接。</w:t>
      </w:r>
    </w:p>
    <w:p>
      <w:pPr>
        <w:spacing w:line="560" w:lineRule="exact"/>
        <w:ind w:firstLine="31680" w:firstLineChars="196"/>
        <w:rPr>
          <w:rFonts w:ascii="仿宋" w:hAnsi="仿宋" w:eastAsia="仿宋" w:cs="Times New Roman"/>
          <w:sz w:val="28"/>
          <w:szCs w:val="28"/>
        </w:rPr>
      </w:pPr>
      <w:r>
        <w:rPr>
          <w:rFonts w:hint="eastAsia" w:ascii="仿宋" w:hAnsi="仿宋" w:eastAsia="仿宋" w:cs="仿宋"/>
          <w:sz w:val="28"/>
          <w:szCs w:val="28"/>
        </w:rPr>
        <w:t>（</w:t>
      </w:r>
      <w:r>
        <w:rPr>
          <w:rFonts w:ascii="仿宋" w:hAnsi="仿宋" w:eastAsia="仿宋" w:cs="仿宋"/>
          <w:sz w:val="28"/>
          <w:szCs w:val="28"/>
        </w:rPr>
        <w:t>5</w:t>
      </w:r>
      <w:r>
        <w:rPr>
          <w:rFonts w:hint="eastAsia" w:ascii="仿宋" w:hAnsi="仿宋" w:eastAsia="仿宋" w:cs="仿宋"/>
          <w:sz w:val="28"/>
          <w:szCs w:val="28"/>
        </w:rPr>
        <w:t>）建设激光闪烁晶体生产项目。由长汀雷生科技有限责任公司投资的</w:t>
      </w:r>
      <w:r>
        <w:rPr>
          <w:rFonts w:ascii="仿宋" w:hAnsi="仿宋" w:eastAsia="仿宋" w:cs="仿宋"/>
          <w:sz w:val="28"/>
          <w:szCs w:val="28"/>
        </w:rPr>
        <w:t>100</w:t>
      </w:r>
      <w:r>
        <w:rPr>
          <w:rFonts w:hint="eastAsia" w:ascii="仿宋" w:hAnsi="仿宋" w:eastAsia="仿宋" w:cs="仿宋"/>
          <w:sz w:val="28"/>
          <w:szCs w:val="28"/>
        </w:rPr>
        <w:t>台单晶体炉项目已经投产，年产值</w:t>
      </w:r>
      <w:r>
        <w:rPr>
          <w:rFonts w:ascii="仿宋" w:hAnsi="仿宋" w:eastAsia="仿宋" w:cs="仿宋"/>
          <w:sz w:val="28"/>
          <w:szCs w:val="28"/>
        </w:rPr>
        <w:t>2</w:t>
      </w:r>
      <w:r>
        <w:rPr>
          <w:rFonts w:hint="eastAsia" w:ascii="仿宋" w:hAnsi="仿宋" w:eastAsia="仿宋" w:cs="仿宋"/>
          <w:sz w:val="28"/>
          <w:szCs w:val="28"/>
        </w:rPr>
        <w:t>亿元以上。该公司计划扩建</w:t>
      </w:r>
      <w:r>
        <w:rPr>
          <w:rFonts w:ascii="仿宋" w:hAnsi="仿宋" w:eastAsia="仿宋" w:cs="仿宋"/>
          <w:sz w:val="28"/>
          <w:szCs w:val="28"/>
        </w:rPr>
        <w:t>100</w:t>
      </w:r>
      <w:r>
        <w:rPr>
          <w:rFonts w:hint="eastAsia" w:ascii="仿宋" w:hAnsi="仿宋" w:eastAsia="仿宋" w:cs="仿宋"/>
          <w:sz w:val="28"/>
          <w:szCs w:val="28"/>
        </w:rPr>
        <w:t>台单晶体炉设备，建立闪烁及激光晶体军民融合生产基地。</w:t>
      </w:r>
    </w:p>
    <w:p>
      <w:pPr>
        <w:spacing w:line="560" w:lineRule="exact"/>
        <w:ind w:firstLine="31680" w:firstLineChars="196"/>
        <w:rPr>
          <w:rFonts w:ascii="仿宋" w:hAnsi="仿宋" w:eastAsia="仿宋" w:cs="Times New Roman"/>
          <w:sz w:val="28"/>
          <w:szCs w:val="28"/>
        </w:rPr>
      </w:pPr>
      <w:r>
        <w:rPr>
          <w:rFonts w:hint="eastAsia" w:ascii="仿宋" w:hAnsi="仿宋" w:eastAsia="仿宋" w:cs="仿宋"/>
          <w:sz w:val="28"/>
          <w:szCs w:val="28"/>
        </w:rPr>
        <w:t>（</w:t>
      </w:r>
      <w:r>
        <w:rPr>
          <w:rFonts w:ascii="仿宋" w:hAnsi="仿宋" w:eastAsia="仿宋" w:cs="仿宋"/>
          <w:sz w:val="28"/>
          <w:szCs w:val="28"/>
        </w:rPr>
        <w:t>6</w:t>
      </w:r>
      <w:r>
        <w:rPr>
          <w:rFonts w:hint="eastAsia" w:ascii="仿宋" w:hAnsi="仿宋" w:eastAsia="仿宋" w:cs="仿宋"/>
          <w:sz w:val="28"/>
          <w:szCs w:val="28"/>
        </w:rPr>
        <w:t>）稀土绿色工业系统：稀土矿山绿色采选、稀土冶炼分离绿色工厂、稀土回收和循环利用、稀土绿色产业园区。</w:t>
      </w:r>
    </w:p>
    <w:p>
      <w:pPr>
        <w:pStyle w:val="3"/>
        <w:rPr>
          <w:rFonts w:ascii="仿宋" w:hAnsi="仿宋" w:eastAsia="仿宋" w:cs="Times New Roman"/>
          <w:sz w:val="28"/>
          <w:szCs w:val="28"/>
        </w:rPr>
      </w:pPr>
      <w:bookmarkStart w:id="52" w:name="_Toc70684665"/>
      <w:r>
        <w:rPr>
          <w:rFonts w:hint="eastAsia" w:ascii="仿宋" w:hAnsi="仿宋" w:eastAsia="仿宋" w:cs="仿宋"/>
          <w:sz w:val="28"/>
          <w:szCs w:val="28"/>
        </w:rPr>
        <w:t>（四）钨产业发展重点与建设项目</w:t>
      </w:r>
      <w:bookmarkEnd w:id="52"/>
    </w:p>
    <w:p>
      <w:pPr>
        <w:spacing w:line="540" w:lineRule="exact"/>
        <w:ind w:firstLine="31680" w:firstLineChars="200"/>
        <w:rPr>
          <w:rFonts w:ascii="仿宋" w:hAnsi="仿宋" w:eastAsia="仿宋" w:cs="Times New Roman"/>
          <w:sz w:val="28"/>
          <w:szCs w:val="28"/>
        </w:rPr>
      </w:pPr>
      <w:r>
        <w:rPr>
          <w:rFonts w:hint="eastAsia" w:ascii="仿宋" w:hAnsi="仿宋" w:eastAsia="仿宋" w:cs="仿宋"/>
          <w:sz w:val="28"/>
          <w:szCs w:val="28"/>
        </w:rPr>
        <w:t>建议龙岩市发挥后发优势，通过招商引资和产业引导，在钨的深加工产业方面，通过厦门钨业的品牌优势和带动作用，主要发展异型件、钨合金、数控刀片刀具、盾构齿、硬面材料、耐磨零件以及配套工具等细分领域市场，避开传统产业领域竞争，实现差异化发展，“十四五”期间重点在硬质合金非标异型件和配套整体工具方面获得突破。</w:t>
      </w:r>
    </w:p>
    <w:p>
      <w:pPr>
        <w:spacing w:line="560" w:lineRule="exact"/>
        <w:ind w:firstLine="31680" w:firstLineChars="196"/>
        <w:rPr>
          <w:rFonts w:ascii="仿宋" w:hAnsi="仿宋" w:eastAsia="仿宋" w:cs="Times New Roman"/>
          <w:sz w:val="28"/>
          <w:szCs w:val="28"/>
        </w:rPr>
      </w:pPr>
      <w:r>
        <w:rPr>
          <w:rFonts w:hint="eastAsia" w:ascii="仿宋" w:hAnsi="仿宋" w:eastAsia="仿宋" w:cs="仿宋"/>
          <w:sz w:val="28"/>
          <w:szCs w:val="28"/>
        </w:rPr>
        <w:t>（</w:t>
      </w:r>
      <w:r>
        <w:rPr>
          <w:rFonts w:ascii="仿宋" w:hAnsi="仿宋" w:eastAsia="仿宋" w:cs="仿宋"/>
          <w:sz w:val="28"/>
          <w:szCs w:val="28"/>
        </w:rPr>
        <w:t>1</w:t>
      </w:r>
      <w:r>
        <w:rPr>
          <w:rFonts w:hint="eastAsia" w:ascii="仿宋" w:hAnsi="仿宋" w:eastAsia="仿宋" w:cs="仿宋"/>
          <w:sz w:val="28"/>
          <w:szCs w:val="28"/>
        </w:rPr>
        <w:t>）硬质合金非标异型件</w:t>
      </w:r>
    </w:p>
    <w:p>
      <w:pPr>
        <w:spacing w:line="540" w:lineRule="exact"/>
        <w:ind w:firstLine="31680" w:firstLineChars="200"/>
        <w:rPr>
          <w:rFonts w:ascii="仿宋" w:hAnsi="仿宋" w:eastAsia="仿宋" w:cs="Times New Roman"/>
          <w:sz w:val="28"/>
          <w:szCs w:val="28"/>
        </w:rPr>
      </w:pPr>
      <w:r>
        <w:rPr>
          <w:rFonts w:hint="eastAsia" w:ascii="仿宋" w:hAnsi="仿宋" w:eastAsia="仿宋" w:cs="仿宋"/>
          <w:sz w:val="28"/>
          <w:szCs w:val="28"/>
        </w:rPr>
        <w:t>硬质合金非标异型产品是一个朝阳产业，发展潜力很大，目前国内专业做非标异型的厂家不多，而且产品价值比较高，竞争相对不是很激烈，是一个很好的投资领域。这方面可以考虑引进外资企业，比如台湾翊伟公司、日本戴捷公司等。</w:t>
      </w:r>
    </w:p>
    <w:p>
      <w:pPr>
        <w:spacing w:line="560" w:lineRule="exact"/>
        <w:ind w:firstLine="31680" w:firstLineChars="196"/>
        <w:rPr>
          <w:rFonts w:ascii="仿宋" w:hAnsi="仿宋" w:eastAsia="仿宋" w:cs="Times New Roman"/>
          <w:sz w:val="28"/>
          <w:szCs w:val="28"/>
        </w:rPr>
      </w:pPr>
      <w:r>
        <w:rPr>
          <w:rFonts w:hint="eastAsia" w:ascii="仿宋" w:hAnsi="仿宋" w:eastAsia="仿宋" w:cs="仿宋"/>
          <w:sz w:val="28"/>
          <w:szCs w:val="28"/>
        </w:rPr>
        <w:t>（</w:t>
      </w:r>
      <w:r>
        <w:rPr>
          <w:rFonts w:ascii="仿宋" w:hAnsi="仿宋" w:eastAsia="仿宋" w:cs="仿宋"/>
          <w:sz w:val="28"/>
          <w:szCs w:val="28"/>
        </w:rPr>
        <w:t>2</w:t>
      </w:r>
      <w:r>
        <w:rPr>
          <w:rFonts w:hint="eastAsia" w:ascii="仿宋" w:hAnsi="仿宋" w:eastAsia="仿宋" w:cs="仿宋"/>
          <w:sz w:val="28"/>
          <w:szCs w:val="28"/>
        </w:rPr>
        <w:t>）配套整体工具</w:t>
      </w:r>
    </w:p>
    <w:p>
      <w:pPr>
        <w:spacing w:line="540" w:lineRule="exact"/>
        <w:ind w:firstLine="31680" w:firstLineChars="200"/>
        <w:rPr>
          <w:rFonts w:ascii="仿宋" w:hAnsi="仿宋" w:eastAsia="仿宋" w:cs="Times New Roman"/>
          <w:sz w:val="28"/>
          <w:szCs w:val="28"/>
        </w:rPr>
      </w:pPr>
      <w:r>
        <w:rPr>
          <w:rFonts w:hint="eastAsia" w:ascii="仿宋" w:hAnsi="仿宋" w:eastAsia="仿宋" w:cs="仿宋"/>
          <w:sz w:val="28"/>
          <w:szCs w:val="28"/>
        </w:rPr>
        <w:t>与硬质合金产品配套的整体工具产品，是整个硬质合金产业的发展方向。目前，各硬质合金厂家生产的硬质合金刀片都为半成品，还未形成最终产品</w:t>
      </w:r>
      <w:r>
        <w:rPr>
          <w:rFonts w:ascii="仿宋" w:hAnsi="仿宋" w:eastAsia="仿宋" w:cs="仿宋"/>
          <w:sz w:val="28"/>
          <w:szCs w:val="28"/>
        </w:rPr>
        <w:t>——</w:t>
      </w:r>
      <w:r>
        <w:rPr>
          <w:rFonts w:hint="eastAsia" w:ascii="仿宋" w:hAnsi="仿宋" w:eastAsia="仿宋" w:cs="仿宋"/>
          <w:sz w:val="28"/>
          <w:szCs w:val="28"/>
        </w:rPr>
        <w:t>整体工具的产业化，而整体工具具有较高的附加值和利润。国内部分企业已经着手整体工具的研发，广东河源的几家企业已经初具规模，如河源富马等。</w:t>
      </w:r>
    </w:p>
    <w:p>
      <w:pPr>
        <w:spacing w:before="240" w:after="120"/>
        <w:jc w:val="center"/>
        <w:rPr>
          <w:rFonts w:ascii="黑体" w:hAnsi="黑体" w:eastAsia="黑体" w:cs="Times New Roman"/>
        </w:rPr>
      </w:pPr>
      <w:r>
        <w:rPr>
          <w:rFonts w:hint="eastAsia" w:ascii="黑体" w:hAnsi="黑体" w:eastAsia="黑体" w:cs="黑体"/>
        </w:rPr>
        <w:t>表</w:t>
      </w:r>
      <w:r>
        <w:rPr>
          <w:rFonts w:ascii="黑体" w:hAnsi="黑体" w:eastAsia="黑体" w:cs="黑体"/>
        </w:rPr>
        <w:t xml:space="preserve">5-5  </w:t>
      </w:r>
      <w:r>
        <w:rPr>
          <w:rFonts w:hint="eastAsia" w:ascii="黑体" w:hAnsi="黑体" w:eastAsia="黑体" w:cs="黑体"/>
        </w:rPr>
        <w:t>招商引资特色企业</w:t>
      </w:r>
    </w:p>
    <w:tbl>
      <w:tblPr>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
      <w:tblGrid>
        <w:gridCol w:w="1352"/>
        <w:gridCol w:w="1389"/>
        <w:gridCol w:w="6545"/>
      </w:tblGrid>
      <w:tr>
        <w:trPr>
          <w:trHeight w:val="386" w:hRule="atLeast"/>
          <w:jc w:val="center"/>
        </w:trPr>
        <w:tc>
          <w:tcPr>
            <w:tcW w:w="1352" w:type="dxa"/>
            <w:shd w:val="clear" w:color="auto" w:fill="D9D9D9"/>
            <w:vAlign w:val="center"/>
          </w:tcPr>
          <w:p>
            <w:pPr>
              <w:jc w:val="center"/>
              <w:rPr>
                <w:rFonts w:ascii="Times New Roman" w:hAnsi="Times New Roman" w:cs="Times New Roman"/>
                <w:b/>
                <w:bCs/>
              </w:rPr>
            </w:pPr>
            <w:r>
              <w:rPr>
                <w:rFonts w:hint="eastAsia" w:ascii="Times New Roman" w:hAnsi="Times New Roman" w:cs="宋体"/>
                <w:b/>
                <w:bCs/>
              </w:rPr>
              <w:t>类型</w:t>
            </w:r>
          </w:p>
        </w:tc>
        <w:tc>
          <w:tcPr>
            <w:tcW w:w="1389" w:type="dxa"/>
            <w:shd w:val="clear" w:color="auto" w:fill="D9D9D9"/>
            <w:vAlign w:val="center"/>
          </w:tcPr>
          <w:p>
            <w:pPr>
              <w:jc w:val="center"/>
              <w:rPr>
                <w:rFonts w:ascii="Times New Roman" w:hAnsi="Times New Roman" w:cs="Times New Roman"/>
                <w:b/>
                <w:bCs/>
              </w:rPr>
            </w:pPr>
            <w:r>
              <w:rPr>
                <w:rFonts w:hint="eastAsia" w:ascii="Times New Roman" w:hAnsi="Times New Roman" w:cs="宋体"/>
                <w:b/>
                <w:bCs/>
              </w:rPr>
              <w:t>企业</w:t>
            </w:r>
          </w:p>
        </w:tc>
        <w:tc>
          <w:tcPr>
            <w:tcW w:w="6545" w:type="dxa"/>
            <w:shd w:val="clear" w:color="auto" w:fill="D9D9D9"/>
            <w:vAlign w:val="center"/>
          </w:tcPr>
          <w:p>
            <w:pPr>
              <w:jc w:val="center"/>
              <w:rPr>
                <w:rFonts w:ascii="Times New Roman" w:hAnsi="Times New Roman" w:cs="Times New Roman"/>
                <w:b/>
                <w:bCs/>
              </w:rPr>
            </w:pPr>
            <w:r>
              <w:rPr>
                <w:rFonts w:hint="eastAsia" w:ascii="Times New Roman" w:hAnsi="Times New Roman" w:cs="宋体"/>
                <w:b/>
                <w:bCs/>
              </w:rPr>
              <w:t>基本情况</w:t>
            </w:r>
          </w:p>
        </w:tc>
      </w:tr>
      <w:tr>
        <w:trPr>
          <w:trHeight w:val="285" w:hRule="atLeast"/>
          <w:jc w:val="center"/>
        </w:trPr>
        <w:tc>
          <w:tcPr>
            <w:tcW w:w="1352" w:type="dxa"/>
            <w:vAlign w:val="center"/>
          </w:tcPr>
          <w:p>
            <w:pPr>
              <w:jc w:val="center"/>
              <w:rPr>
                <w:rFonts w:ascii="Times New Roman" w:hAnsi="Times New Roman" w:cs="Times New Roman"/>
              </w:rPr>
            </w:pPr>
            <w:r>
              <w:rPr>
                <w:rFonts w:hint="eastAsia" w:ascii="Times New Roman" w:hAnsi="Times New Roman" w:cs="宋体"/>
              </w:rPr>
              <w:t>非标异</w:t>
            </w:r>
          </w:p>
          <w:p>
            <w:pPr>
              <w:jc w:val="center"/>
              <w:rPr>
                <w:rFonts w:ascii="Times New Roman" w:hAnsi="Times New Roman" w:cs="Times New Roman"/>
              </w:rPr>
            </w:pPr>
            <w:r>
              <w:rPr>
                <w:rFonts w:hint="eastAsia" w:ascii="Times New Roman" w:hAnsi="Times New Roman" w:cs="宋体"/>
              </w:rPr>
              <w:t>型件</w:t>
            </w:r>
          </w:p>
        </w:tc>
        <w:tc>
          <w:tcPr>
            <w:tcW w:w="1389" w:type="dxa"/>
            <w:vAlign w:val="center"/>
          </w:tcPr>
          <w:p>
            <w:pPr>
              <w:jc w:val="center"/>
              <w:rPr>
                <w:rFonts w:ascii="Times New Roman" w:hAnsi="Times New Roman" w:cs="Times New Roman"/>
              </w:rPr>
            </w:pPr>
            <w:r>
              <w:rPr>
                <w:rFonts w:hint="eastAsia" w:ascii="Times New Roman" w:hAnsi="Times New Roman" w:cs="宋体"/>
              </w:rPr>
              <w:t>台湾翊伟</w:t>
            </w:r>
          </w:p>
        </w:tc>
        <w:tc>
          <w:tcPr>
            <w:tcW w:w="6545" w:type="dxa"/>
            <w:vAlign w:val="center"/>
          </w:tcPr>
          <w:p>
            <w:pPr>
              <w:rPr>
                <w:rFonts w:ascii="Times New Roman" w:hAnsi="Times New Roman" w:cs="Times New Roman"/>
              </w:rPr>
            </w:pPr>
            <w:r>
              <w:rPr>
                <w:rFonts w:hint="eastAsia" w:ascii="Times New Roman" w:hAnsi="Times New Roman" w:cs="宋体"/>
              </w:rPr>
              <w:t>主要集中在非标异型件，包括超硬合金切削刀片、各式模具、耐磨耗材等多种产品。</w:t>
            </w:r>
            <w:r>
              <w:rPr>
                <w:rFonts w:ascii="Times New Roman" w:hAnsi="Times New Roman" w:cs="Times New Roman"/>
              </w:rPr>
              <w:t>1993</w:t>
            </w:r>
            <w:r>
              <w:rPr>
                <w:rFonts w:hint="eastAsia" w:ascii="Times New Roman" w:hAnsi="Times New Roman" w:cs="宋体"/>
              </w:rPr>
              <w:t>年成立台湾工厂，</w:t>
            </w:r>
            <w:r>
              <w:rPr>
                <w:rFonts w:ascii="Times New Roman" w:hAnsi="Times New Roman" w:cs="Times New Roman"/>
              </w:rPr>
              <w:t>2000</w:t>
            </w:r>
            <w:r>
              <w:rPr>
                <w:rFonts w:hint="eastAsia" w:ascii="Times New Roman" w:hAnsi="Times New Roman" w:cs="宋体"/>
              </w:rPr>
              <w:t>年先设立了广东东莞分厂、</w:t>
            </w:r>
            <w:r>
              <w:rPr>
                <w:rFonts w:ascii="Times New Roman" w:hAnsi="Times New Roman" w:cs="Times New Roman"/>
              </w:rPr>
              <w:t>2003</w:t>
            </w:r>
            <w:r>
              <w:rPr>
                <w:rFonts w:hint="eastAsia" w:ascii="Times New Roman" w:hAnsi="Times New Roman" w:cs="宋体"/>
              </w:rPr>
              <w:t>年设立了江苏昆山厂。</w:t>
            </w:r>
          </w:p>
        </w:tc>
      </w:tr>
      <w:tr>
        <w:trPr>
          <w:trHeight w:val="285" w:hRule="atLeast"/>
          <w:jc w:val="center"/>
        </w:trPr>
        <w:tc>
          <w:tcPr>
            <w:tcW w:w="1352" w:type="dxa"/>
            <w:vAlign w:val="center"/>
          </w:tcPr>
          <w:p>
            <w:pPr>
              <w:jc w:val="center"/>
              <w:rPr>
                <w:rFonts w:ascii="Times New Roman" w:hAnsi="Times New Roman" w:cs="Times New Roman"/>
              </w:rPr>
            </w:pPr>
            <w:r>
              <w:rPr>
                <w:rFonts w:hint="eastAsia" w:ascii="Times New Roman" w:hAnsi="Times New Roman" w:cs="宋体"/>
              </w:rPr>
              <w:t>非标异</w:t>
            </w:r>
          </w:p>
          <w:p>
            <w:pPr>
              <w:jc w:val="center"/>
              <w:rPr>
                <w:rFonts w:ascii="Times New Roman" w:hAnsi="Times New Roman" w:cs="Times New Roman"/>
              </w:rPr>
            </w:pPr>
            <w:r>
              <w:rPr>
                <w:rFonts w:hint="eastAsia" w:ascii="Times New Roman" w:hAnsi="Times New Roman" w:cs="宋体"/>
              </w:rPr>
              <w:t>型件</w:t>
            </w:r>
          </w:p>
        </w:tc>
        <w:tc>
          <w:tcPr>
            <w:tcW w:w="1389" w:type="dxa"/>
            <w:vAlign w:val="center"/>
          </w:tcPr>
          <w:p>
            <w:pPr>
              <w:jc w:val="center"/>
              <w:rPr>
                <w:rFonts w:ascii="Times New Roman" w:hAnsi="Times New Roman" w:cs="Times New Roman"/>
              </w:rPr>
            </w:pPr>
            <w:r>
              <w:rPr>
                <w:rFonts w:hint="eastAsia" w:ascii="Times New Roman" w:hAnsi="Times New Roman" w:cs="宋体"/>
              </w:rPr>
              <w:t>日本戴捷</w:t>
            </w:r>
          </w:p>
        </w:tc>
        <w:tc>
          <w:tcPr>
            <w:tcW w:w="6545" w:type="dxa"/>
            <w:vAlign w:val="center"/>
          </w:tcPr>
          <w:p>
            <w:pPr>
              <w:rPr>
                <w:rFonts w:ascii="Times New Roman" w:hAnsi="Times New Roman" w:cs="Times New Roman"/>
              </w:rPr>
            </w:pPr>
            <w:r>
              <w:rPr>
                <w:rFonts w:hint="eastAsia" w:ascii="Times New Roman" w:hAnsi="Times New Roman" w:cs="宋体"/>
              </w:rPr>
              <w:t>日本市场上，排名在三菱金属公司、住友电气工业公司、东芝钨有限公司之后的一家优质企业，以</w:t>
            </w:r>
            <w:r>
              <w:rPr>
                <w:rFonts w:ascii="Times New Roman" w:hAnsi="Times New Roman" w:cs="Times New Roman"/>
              </w:rPr>
              <w:t>CBN</w:t>
            </w:r>
            <w:r>
              <w:rPr>
                <w:rFonts w:hint="eastAsia" w:ascii="Times New Roman" w:hAnsi="Times New Roman" w:cs="宋体"/>
              </w:rPr>
              <w:t>为基的各种刀具。</w:t>
            </w:r>
          </w:p>
        </w:tc>
      </w:tr>
      <w:tr>
        <w:trPr>
          <w:trHeight w:val="285" w:hRule="atLeast"/>
          <w:jc w:val="center"/>
        </w:trPr>
        <w:tc>
          <w:tcPr>
            <w:tcW w:w="1352" w:type="dxa"/>
            <w:vAlign w:val="center"/>
          </w:tcPr>
          <w:p>
            <w:pPr>
              <w:jc w:val="center"/>
              <w:rPr>
                <w:rFonts w:ascii="Times New Roman" w:hAnsi="Times New Roman" w:cs="Times New Roman"/>
              </w:rPr>
            </w:pPr>
            <w:r>
              <w:rPr>
                <w:rFonts w:hint="eastAsia" w:ascii="Times New Roman" w:hAnsi="Times New Roman" w:cs="宋体"/>
              </w:rPr>
              <w:t>整体工具</w:t>
            </w:r>
          </w:p>
        </w:tc>
        <w:tc>
          <w:tcPr>
            <w:tcW w:w="1389" w:type="dxa"/>
            <w:vAlign w:val="center"/>
          </w:tcPr>
          <w:p>
            <w:pPr>
              <w:jc w:val="center"/>
              <w:rPr>
                <w:rFonts w:ascii="Times New Roman" w:hAnsi="Times New Roman" w:cs="Times New Roman"/>
              </w:rPr>
            </w:pPr>
            <w:r>
              <w:rPr>
                <w:rFonts w:hint="eastAsia" w:ascii="Times New Roman" w:hAnsi="Times New Roman" w:cs="宋体"/>
              </w:rPr>
              <w:t>河源富马</w:t>
            </w:r>
          </w:p>
        </w:tc>
        <w:tc>
          <w:tcPr>
            <w:tcW w:w="6545" w:type="dxa"/>
            <w:vAlign w:val="center"/>
          </w:tcPr>
          <w:p>
            <w:pPr>
              <w:rPr>
                <w:rFonts w:ascii="Times New Roman" w:hAnsi="Times New Roman" w:cs="Times New Roman"/>
              </w:rPr>
            </w:pPr>
            <w:r>
              <w:rPr>
                <w:rFonts w:hint="eastAsia" w:ascii="Times New Roman" w:hAnsi="Times New Roman" w:cs="宋体"/>
              </w:rPr>
              <w:t>新三板上市公司。公司主要生产作为切削刀具关键工作部件的硬质合金刀头、硬质合金木工刀及整体硬质合金圆片三大系列产品，公司已具备年产</w:t>
            </w:r>
            <w:r>
              <w:rPr>
                <w:rFonts w:ascii="Times New Roman" w:hAnsi="Times New Roman" w:cs="Times New Roman"/>
              </w:rPr>
              <w:t>600</w:t>
            </w:r>
            <w:r>
              <w:rPr>
                <w:rFonts w:hint="eastAsia" w:ascii="Times New Roman" w:hAnsi="Times New Roman" w:cs="宋体"/>
              </w:rPr>
              <w:t>吨硬质合金制品的生产能力，生产规模居国内硬质合金民营企业前列。公司的核心竞争力是聚焦于高性能硬质合金材料及超小、超薄硬质合金制品的研发及产业化，并以此保持行业领先地位的能力。</w:t>
            </w:r>
          </w:p>
        </w:tc>
      </w:tr>
    </w:tbl>
    <w:p>
      <w:pPr>
        <w:pStyle w:val="2"/>
        <w:spacing w:before="120" w:after="120" w:line="240" w:lineRule="auto"/>
        <w:rPr>
          <w:rFonts w:ascii="黑体" w:hAnsi="黑体" w:eastAsia="黑体" w:cs="Times New Roman"/>
          <w:b w:val="0"/>
          <w:bCs w:val="0"/>
          <w:sz w:val="28"/>
          <w:szCs w:val="28"/>
        </w:rPr>
      </w:pPr>
      <w:bookmarkStart w:id="53" w:name="_Toc70684666"/>
      <w:r>
        <w:rPr>
          <w:rFonts w:hint="eastAsia" w:ascii="黑体" w:hAnsi="黑体" w:eastAsia="黑体" w:cs="黑体"/>
          <w:b w:val="0"/>
          <w:bCs w:val="0"/>
          <w:sz w:val="28"/>
          <w:szCs w:val="28"/>
        </w:rPr>
        <w:t>六、保障措施建议</w:t>
      </w:r>
      <w:bookmarkEnd w:id="53"/>
    </w:p>
    <w:p>
      <w:pPr>
        <w:pStyle w:val="3"/>
        <w:rPr>
          <w:rFonts w:ascii="仿宋" w:hAnsi="仿宋" w:eastAsia="仿宋" w:cs="Times New Roman"/>
          <w:sz w:val="28"/>
          <w:szCs w:val="28"/>
        </w:rPr>
      </w:pPr>
      <w:bookmarkStart w:id="54" w:name="_Toc70684667"/>
      <w:r>
        <w:rPr>
          <w:rFonts w:hint="eastAsia" w:ascii="仿宋" w:hAnsi="仿宋" w:eastAsia="仿宋" w:cs="仿宋"/>
          <w:sz w:val="28"/>
          <w:szCs w:val="28"/>
        </w:rPr>
        <w:t>（一）政策保障</w:t>
      </w:r>
      <w:bookmarkEnd w:id="54"/>
    </w:p>
    <w:p>
      <w:pPr>
        <w:spacing w:line="560" w:lineRule="exact"/>
        <w:ind w:firstLine="31680" w:firstLineChars="200"/>
        <w:rPr>
          <w:rFonts w:ascii="仿宋" w:hAnsi="仿宋" w:eastAsia="仿宋" w:cs="Times New Roman"/>
          <w:sz w:val="28"/>
          <w:szCs w:val="28"/>
        </w:rPr>
      </w:pPr>
      <w:r>
        <w:rPr>
          <w:rFonts w:hint="eastAsia" w:ascii="仿宋" w:hAnsi="仿宋" w:eastAsia="仿宋" w:cs="仿宋"/>
          <w:sz w:val="28"/>
          <w:szCs w:val="28"/>
        </w:rPr>
        <w:t>加强有色金属产业政策研究，充分发挥政府在产业发展方面的引导作用。</w:t>
      </w:r>
    </w:p>
    <w:p>
      <w:pPr>
        <w:spacing w:line="560" w:lineRule="exact"/>
        <w:ind w:firstLine="31680" w:firstLineChars="200"/>
        <w:rPr>
          <w:rFonts w:ascii="仿宋" w:hAnsi="仿宋" w:eastAsia="仿宋" w:cs="Times New Roman"/>
          <w:sz w:val="28"/>
          <w:szCs w:val="28"/>
        </w:rPr>
      </w:pPr>
      <w:r>
        <w:rPr>
          <w:rFonts w:hint="eastAsia" w:ascii="仿宋" w:hAnsi="仿宋" w:eastAsia="仿宋" w:cs="仿宋"/>
          <w:sz w:val="28"/>
          <w:szCs w:val="28"/>
        </w:rPr>
        <w:t>一是积极争取上级政策扶持，争取原有中央苏区县等政策的基础上，重点向省级部门争取扶持有色金属产业发展政策措施，争取更多的土地、环保、技术创新、基础设施配套及原料保障等建设指标；</w:t>
      </w:r>
    </w:p>
    <w:p>
      <w:pPr>
        <w:spacing w:line="560" w:lineRule="exact"/>
        <w:ind w:firstLine="31680" w:firstLineChars="200"/>
        <w:rPr>
          <w:rFonts w:ascii="仿宋" w:hAnsi="仿宋" w:eastAsia="仿宋" w:cs="Times New Roman"/>
          <w:sz w:val="28"/>
          <w:szCs w:val="28"/>
        </w:rPr>
      </w:pPr>
      <w:r>
        <w:rPr>
          <w:rFonts w:hint="eastAsia" w:ascii="仿宋" w:hAnsi="仿宋" w:eastAsia="仿宋" w:cs="仿宋"/>
          <w:sz w:val="28"/>
          <w:szCs w:val="28"/>
        </w:rPr>
        <w:t>二是针对有色金属产业制定优惠政策，通过土地、金融、财税、工商、创新、人才等方面政策的落实，加强生产要素的合理配置。针对高技术含量和高附加值的重点项目，通过“一事一议”制定特别扶持政策，引导产业结构升级优化；</w:t>
      </w:r>
    </w:p>
    <w:p>
      <w:pPr>
        <w:spacing w:line="560" w:lineRule="exact"/>
        <w:ind w:firstLine="31680" w:firstLineChars="200"/>
        <w:rPr>
          <w:rFonts w:ascii="仿宋" w:hAnsi="仿宋" w:eastAsia="仿宋" w:cs="Times New Roman"/>
          <w:sz w:val="28"/>
          <w:szCs w:val="28"/>
        </w:rPr>
      </w:pPr>
      <w:r>
        <w:rPr>
          <w:rFonts w:hint="eastAsia" w:ascii="仿宋" w:hAnsi="仿宋" w:eastAsia="仿宋" w:cs="仿宋"/>
          <w:sz w:val="28"/>
          <w:szCs w:val="28"/>
        </w:rPr>
        <w:t>三是大力培育龙头企业和潜在的龙头企业，重点扶持产值超十亿元的企业，对大型龙头企业实施“一企一策”，在项目建设、融资担保、用工培训、产品研发及技术改造升级等方面给予特别扶持；</w:t>
      </w:r>
    </w:p>
    <w:p>
      <w:pPr>
        <w:spacing w:line="560" w:lineRule="exact"/>
        <w:ind w:firstLine="31680" w:firstLineChars="200"/>
        <w:rPr>
          <w:rFonts w:ascii="仿宋" w:hAnsi="仿宋" w:eastAsia="仿宋" w:cs="Times New Roman"/>
          <w:sz w:val="28"/>
          <w:szCs w:val="28"/>
        </w:rPr>
      </w:pPr>
      <w:r>
        <w:rPr>
          <w:rFonts w:hint="eastAsia" w:ascii="仿宋" w:hAnsi="仿宋" w:eastAsia="仿宋" w:cs="仿宋"/>
          <w:sz w:val="28"/>
          <w:szCs w:val="28"/>
        </w:rPr>
        <w:t>四是大力支持科技创新，引导骨干企业成立技术研发中心，鼓励企业加大研发投入，鼓励企业引进高端人才和工艺技术；</w:t>
      </w:r>
    </w:p>
    <w:p>
      <w:pPr>
        <w:spacing w:line="560" w:lineRule="exact"/>
        <w:ind w:firstLine="31680" w:firstLineChars="200"/>
        <w:rPr>
          <w:rFonts w:ascii="仿宋" w:hAnsi="仿宋" w:eastAsia="仿宋" w:cs="Times New Roman"/>
          <w:sz w:val="28"/>
          <w:szCs w:val="28"/>
        </w:rPr>
      </w:pPr>
      <w:r>
        <w:rPr>
          <w:rFonts w:hint="eastAsia" w:ascii="仿宋" w:hAnsi="仿宋" w:eastAsia="仿宋" w:cs="仿宋"/>
          <w:sz w:val="28"/>
          <w:szCs w:val="28"/>
        </w:rPr>
        <w:t>五是制定相应的上市孵化和培育政策，鼓励和引导优质企业登录资本市场。</w:t>
      </w:r>
    </w:p>
    <w:p>
      <w:pPr>
        <w:pStyle w:val="3"/>
        <w:rPr>
          <w:rFonts w:ascii="仿宋" w:hAnsi="仿宋" w:eastAsia="仿宋" w:cs="Times New Roman"/>
          <w:sz w:val="28"/>
          <w:szCs w:val="28"/>
        </w:rPr>
      </w:pPr>
      <w:bookmarkStart w:id="55" w:name="_Toc70684668"/>
      <w:r>
        <w:rPr>
          <w:rFonts w:hint="eastAsia" w:ascii="仿宋" w:hAnsi="仿宋" w:eastAsia="仿宋" w:cs="仿宋"/>
          <w:sz w:val="28"/>
          <w:szCs w:val="28"/>
        </w:rPr>
        <w:t>（二）金融保障</w:t>
      </w:r>
      <w:bookmarkEnd w:id="55"/>
    </w:p>
    <w:p>
      <w:pPr>
        <w:spacing w:line="540" w:lineRule="exact"/>
        <w:ind w:firstLine="31680" w:firstLineChars="200"/>
        <w:rPr>
          <w:rFonts w:ascii="仿宋" w:hAnsi="仿宋" w:eastAsia="仿宋" w:cs="Times New Roman"/>
          <w:sz w:val="28"/>
          <w:szCs w:val="28"/>
        </w:rPr>
      </w:pPr>
      <w:r>
        <w:rPr>
          <w:rFonts w:hint="eastAsia" w:ascii="仿宋" w:hAnsi="仿宋" w:eastAsia="仿宋" w:cs="仿宋"/>
          <w:sz w:val="28"/>
          <w:szCs w:val="28"/>
        </w:rPr>
        <w:t>首先，充分争取和利用国家和省市政府的各类专项资金，如工业强基、技术改造、智能工厂、绿色制造等，为企业的技术研发、升级改造等提供助力。</w:t>
      </w:r>
    </w:p>
    <w:p>
      <w:pPr>
        <w:spacing w:line="540" w:lineRule="exact"/>
        <w:ind w:firstLine="31680" w:firstLineChars="200"/>
        <w:rPr>
          <w:rFonts w:ascii="仿宋" w:hAnsi="仿宋" w:eastAsia="仿宋" w:cs="Times New Roman"/>
          <w:sz w:val="28"/>
          <w:szCs w:val="28"/>
        </w:rPr>
      </w:pPr>
      <w:r>
        <w:rPr>
          <w:rFonts w:hint="eastAsia" w:ascii="仿宋" w:hAnsi="仿宋" w:eastAsia="仿宋" w:cs="仿宋"/>
          <w:sz w:val="28"/>
          <w:szCs w:val="28"/>
        </w:rPr>
        <w:t>其次，通过银行贷款、发行公司债等方式筹集资金，并积极培育和推动优质企业上市，通过</w:t>
      </w:r>
      <w:r>
        <w:rPr>
          <w:rFonts w:ascii="仿宋" w:hAnsi="仿宋" w:eastAsia="仿宋" w:cs="仿宋"/>
          <w:sz w:val="28"/>
          <w:szCs w:val="28"/>
        </w:rPr>
        <w:t>IPO</w:t>
      </w:r>
      <w:r>
        <w:rPr>
          <w:rFonts w:hint="eastAsia" w:ascii="仿宋" w:hAnsi="仿宋" w:eastAsia="仿宋" w:cs="仿宋"/>
          <w:sz w:val="28"/>
          <w:szCs w:val="28"/>
        </w:rPr>
        <w:t>激活资本市场的融资渠道，获得长期发展的资金需求。</w:t>
      </w:r>
    </w:p>
    <w:p>
      <w:pPr>
        <w:spacing w:line="540" w:lineRule="exact"/>
        <w:ind w:firstLine="31680" w:firstLineChars="200"/>
        <w:rPr>
          <w:rFonts w:ascii="仿宋" w:hAnsi="仿宋" w:eastAsia="仿宋" w:cs="Times New Roman"/>
          <w:sz w:val="28"/>
          <w:szCs w:val="28"/>
        </w:rPr>
      </w:pPr>
      <w:r>
        <w:rPr>
          <w:rFonts w:hint="eastAsia" w:ascii="仿宋" w:hAnsi="仿宋" w:eastAsia="仿宋" w:cs="仿宋"/>
          <w:sz w:val="28"/>
          <w:szCs w:val="28"/>
        </w:rPr>
        <w:t>对于企业的中短期资金周转需求，通过贴息贷款、供应链金融、金铜产业基金等方式，解决企业的资金周转和流动性问题。其中供应链融资方式比较适用于流动性好和市场认可度高的铜产品，可以结合铜物流和仓储配套服务进行，但需要严格监控资金与货物的匹配及流向，做好风险防控；同时，建议通过政府牵头，依托龙头企业和引进资本，创立有色金属产业基金，为企业的短期周转资金提供灵活的支持，同时也可为优质招商引进项目提供股权融资或投资支持。</w:t>
      </w:r>
    </w:p>
    <w:p>
      <w:pPr>
        <w:pStyle w:val="3"/>
        <w:rPr>
          <w:rFonts w:ascii="仿宋" w:hAnsi="仿宋" w:eastAsia="仿宋" w:cs="Times New Roman"/>
          <w:sz w:val="28"/>
          <w:szCs w:val="28"/>
        </w:rPr>
      </w:pPr>
      <w:bookmarkStart w:id="56" w:name="_Toc70684669"/>
      <w:r>
        <w:rPr>
          <w:rFonts w:hint="eastAsia" w:ascii="仿宋" w:hAnsi="仿宋" w:eastAsia="仿宋" w:cs="仿宋"/>
          <w:sz w:val="28"/>
          <w:szCs w:val="28"/>
        </w:rPr>
        <w:t>（三）招商保障</w:t>
      </w:r>
      <w:bookmarkEnd w:id="56"/>
    </w:p>
    <w:p>
      <w:pPr>
        <w:spacing w:line="600" w:lineRule="exact"/>
        <w:ind w:firstLine="31680" w:firstLineChars="200"/>
        <w:rPr>
          <w:rFonts w:ascii="仿宋" w:hAnsi="仿宋" w:eastAsia="仿宋" w:cs="Times New Roman"/>
          <w:sz w:val="28"/>
          <w:szCs w:val="28"/>
        </w:rPr>
      </w:pPr>
      <w:r>
        <w:rPr>
          <w:rFonts w:hint="eastAsia" w:ascii="仿宋" w:hAnsi="仿宋" w:eastAsia="仿宋" w:cs="仿宋"/>
          <w:sz w:val="28"/>
          <w:szCs w:val="28"/>
        </w:rPr>
        <w:t>加大产业宣传。积极组织参加各种铜、稀土等有色金属产业展会、论坛，加强与外界联系，宣传龙岩市的产业优势、政策优惠等，也可每年定期主办（或合作举办）有色金属新材料等专题会议，创建招商平台。</w:t>
      </w:r>
    </w:p>
    <w:p>
      <w:pPr>
        <w:spacing w:line="600" w:lineRule="exact"/>
        <w:ind w:firstLine="31680" w:firstLineChars="200"/>
        <w:rPr>
          <w:rFonts w:ascii="仿宋" w:hAnsi="仿宋" w:eastAsia="仿宋" w:cs="Times New Roman"/>
          <w:sz w:val="28"/>
          <w:szCs w:val="28"/>
        </w:rPr>
      </w:pPr>
      <w:r>
        <w:rPr>
          <w:rFonts w:hint="eastAsia" w:ascii="仿宋" w:hAnsi="仿宋" w:eastAsia="仿宋" w:cs="仿宋"/>
          <w:sz w:val="28"/>
          <w:szCs w:val="28"/>
        </w:rPr>
        <w:t>加强项目招商。规划结合实际提出的重点项目，应认真分析，广泛开展招商活动，搭建项目建设平台。加强与第三方行业机构的沟通交流，及时获取相关项目信息，主动对接业内知名企业及军民融合机会，在重大项目招商工作上得到突破。发挥紫金矿业、金龙稀土等龙头企业的品牌影响力，利用其对外人脉资源、业务关系等，牵线搭桥，引入或合作发展更多产业关联度大、技术含量高、竞争力强的重大项目。同时，注重招商引资实效，重点抓好招商引资签约项目开工率、资金到位率。</w:t>
      </w:r>
    </w:p>
    <w:p>
      <w:pPr>
        <w:spacing w:line="600" w:lineRule="exact"/>
        <w:ind w:firstLine="31680" w:firstLineChars="200"/>
        <w:rPr>
          <w:rFonts w:ascii="仿宋" w:hAnsi="仿宋" w:eastAsia="仿宋" w:cs="Times New Roman"/>
          <w:sz w:val="28"/>
          <w:szCs w:val="28"/>
        </w:rPr>
      </w:pPr>
      <w:r>
        <w:rPr>
          <w:rFonts w:hint="eastAsia" w:ascii="仿宋" w:hAnsi="仿宋" w:eastAsia="仿宋" w:cs="仿宋"/>
          <w:sz w:val="28"/>
          <w:szCs w:val="28"/>
        </w:rPr>
        <w:t>加强项目服务。对落户项目，要加强项目全过程跟踪与协调服务，促进项目顺利入驻、早日建成投产和平稳运行。</w:t>
      </w:r>
    </w:p>
    <w:p>
      <w:pPr>
        <w:pStyle w:val="3"/>
        <w:rPr>
          <w:rFonts w:ascii="仿宋" w:hAnsi="仿宋" w:eastAsia="仿宋" w:cs="Times New Roman"/>
          <w:sz w:val="28"/>
          <w:szCs w:val="28"/>
        </w:rPr>
      </w:pPr>
      <w:bookmarkStart w:id="57" w:name="_Toc70684670"/>
      <w:r>
        <w:rPr>
          <w:rFonts w:hint="eastAsia" w:ascii="仿宋" w:hAnsi="仿宋" w:eastAsia="仿宋" w:cs="仿宋"/>
          <w:sz w:val="28"/>
          <w:szCs w:val="28"/>
        </w:rPr>
        <w:t>（四）创新保障</w:t>
      </w:r>
      <w:bookmarkEnd w:id="57"/>
    </w:p>
    <w:p>
      <w:pPr>
        <w:spacing w:line="560" w:lineRule="exact"/>
        <w:ind w:firstLine="31680" w:firstLineChars="200"/>
        <w:rPr>
          <w:rFonts w:ascii="仿宋" w:hAnsi="仿宋" w:eastAsia="仿宋" w:cs="Times New Roman"/>
          <w:sz w:val="28"/>
          <w:szCs w:val="28"/>
        </w:rPr>
      </w:pPr>
      <w:r>
        <w:rPr>
          <w:rFonts w:hint="eastAsia" w:ascii="仿宋" w:hAnsi="仿宋" w:eastAsia="仿宋" w:cs="仿宋"/>
          <w:sz w:val="28"/>
          <w:szCs w:val="28"/>
        </w:rPr>
        <w:t>科学技术研发和创新，不仅是推动产业升级发展的动力，也是吸引高端人才的重要平台。目前，龙岩市已建成紫金国家重点实验室、上杭县有色金属技术研究院、金龙稀土公司博士后工作站和省级企业技术中心等研发平台，在金铜、稀土采选和冶炼提取等方面具备较强的优势和实力。但是，在有色金属下游深加工方面，龙岩市的技术研发和创新能力较为薄弱，对相关产业的聚集和人才吸引效应不足。建议“十四五”期间，与行业科研机构和高等院校合作，创建铜基新材料、贵金属新材料和高性能稀土材料等专业工程技术研究中心和工作站，加强有色金属新材料的研发水平，提升科技创新能力和产业可持续发展能力。</w:t>
      </w:r>
    </w:p>
    <w:p>
      <w:pPr>
        <w:pStyle w:val="3"/>
        <w:rPr>
          <w:rFonts w:ascii="仿宋" w:hAnsi="仿宋" w:eastAsia="仿宋" w:cs="Times New Roman"/>
          <w:sz w:val="28"/>
          <w:szCs w:val="28"/>
        </w:rPr>
      </w:pPr>
      <w:bookmarkStart w:id="58" w:name="_Toc70684671"/>
      <w:r>
        <w:rPr>
          <w:rFonts w:hint="eastAsia" w:ascii="仿宋" w:hAnsi="仿宋" w:eastAsia="仿宋" w:cs="仿宋"/>
          <w:sz w:val="28"/>
          <w:szCs w:val="28"/>
        </w:rPr>
        <w:t>（五）产业配套保障</w:t>
      </w:r>
      <w:bookmarkEnd w:id="58"/>
    </w:p>
    <w:p>
      <w:pPr>
        <w:spacing w:line="560" w:lineRule="exact"/>
        <w:ind w:firstLine="31680" w:firstLineChars="200"/>
        <w:rPr>
          <w:rFonts w:ascii="仿宋" w:hAnsi="仿宋" w:eastAsia="仿宋" w:cs="Times New Roman"/>
          <w:sz w:val="28"/>
          <w:szCs w:val="28"/>
        </w:rPr>
      </w:pPr>
      <w:r>
        <w:rPr>
          <w:rFonts w:hint="eastAsia" w:ascii="仿宋" w:hAnsi="仿宋" w:eastAsia="仿宋" w:cs="仿宋"/>
          <w:sz w:val="28"/>
          <w:szCs w:val="28"/>
        </w:rPr>
        <w:t>除了科技研发平台的搭建等产业配套以外，龙岩市还需加强一下的产业配套保障，满足有色金属产业的发展需求。</w:t>
      </w:r>
    </w:p>
    <w:p>
      <w:pPr>
        <w:spacing w:line="560" w:lineRule="exact"/>
        <w:ind w:firstLine="31680" w:firstLineChars="200"/>
        <w:rPr>
          <w:rFonts w:ascii="仿宋" w:hAnsi="仿宋" w:eastAsia="仿宋" w:cs="Times New Roman"/>
          <w:sz w:val="28"/>
          <w:szCs w:val="28"/>
        </w:rPr>
      </w:pPr>
      <w:r>
        <w:rPr>
          <w:rFonts w:hint="eastAsia" w:ascii="仿宋" w:hAnsi="仿宋" w:eastAsia="仿宋" w:cs="仿宋"/>
          <w:sz w:val="28"/>
          <w:szCs w:val="28"/>
        </w:rPr>
        <w:t>一是加快上杭白砂科创谷的开发建设，为金铜等有色金属新材料产业项目提供土地供应；二是通过推动用电大户直购电，降低用电成本；三是加强与职业学校等合作，如蛟洋职业技能提升中心等，培养技术人才和产业工人，满足有色金属产业的人力资源需求；四是升级龙岩市金铜产业协会为“龙岩市有色金属产业协会”，为当地有色产业的发展提供信息、沟通等支撑；五是创建冶金设备与模具制造和维修中心、商品检测中心等，为产业提供生产性服务支撑；六是筹建仓储物流交割中心，为铜等大宗商品提供商贸服务；七是创建有色金属虚拟经济平台，提供产业信息和报价、电子商务、融资等资讯服务；八是升级园区的基础设施和生活配套，提升园区对产业项目和就业人员的吸引能力和服务保障能力。</w:t>
      </w:r>
    </w:p>
    <w:p>
      <w:pPr>
        <w:spacing w:line="560" w:lineRule="exact"/>
        <w:ind w:firstLine="31680" w:firstLineChars="200"/>
        <w:rPr>
          <w:rFonts w:ascii="仿宋" w:hAnsi="仿宋" w:eastAsia="仿宋" w:cs="Times New Roman"/>
          <w:sz w:val="28"/>
          <w:szCs w:val="28"/>
        </w:rPr>
      </w:pPr>
    </w:p>
    <w:p>
      <w:pPr>
        <w:pStyle w:val="3"/>
        <w:rPr>
          <w:rFonts w:ascii="仿宋" w:hAnsi="仿宋" w:eastAsia="仿宋" w:cs="Times New Roman"/>
          <w:sz w:val="28"/>
          <w:szCs w:val="28"/>
        </w:rPr>
        <w:sectPr>
          <w:pgSz w:w="11906" w:h="16838"/>
          <w:pgMar w:top="1440" w:right="1418" w:bottom="1440" w:left="1418" w:header="851" w:footer="801" w:gutter="0"/>
          <w:pgNumType w:start="1"/>
          <w:cols w:space="425" w:num="1"/>
          <w:docGrid w:type="lines" w:linePitch="312"/>
        </w:sectPr>
      </w:pPr>
    </w:p>
    <w:p>
      <w:pPr>
        <w:pStyle w:val="2"/>
        <w:spacing w:before="120" w:after="120" w:line="240" w:lineRule="auto"/>
        <w:rPr>
          <w:rFonts w:ascii="黑体" w:hAnsi="黑体" w:eastAsia="黑体" w:cs="Times New Roman"/>
          <w:b w:val="0"/>
          <w:bCs w:val="0"/>
          <w:sz w:val="28"/>
          <w:szCs w:val="28"/>
        </w:rPr>
      </w:pPr>
      <w:bookmarkStart w:id="59" w:name="_Toc70684672"/>
      <w:r>
        <w:rPr>
          <w:rFonts w:hint="eastAsia" w:ascii="黑体" w:hAnsi="黑体" w:eastAsia="黑体" w:cs="黑体"/>
          <w:b w:val="0"/>
          <w:bCs w:val="0"/>
          <w:sz w:val="28"/>
          <w:szCs w:val="28"/>
        </w:rPr>
        <w:t>附件一、“十四五”重点规划项目表</w:t>
      </w:r>
      <w:bookmarkEnd w:id="59"/>
    </w:p>
    <w:p>
      <w:pPr>
        <w:spacing w:before="240"/>
        <w:ind w:firstLine="560"/>
        <w:rPr>
          <w:rFonts w:ascii="仿宋" w:hAnsi="仿宋" w:eastAsia="仿宋" w:cs="Times New Roman"/>
          <w:sz w:val="28"/>
          <w:szCs w:val="28"/>
        </w:rPr>
      </w:pPr>
      <w:r>
        <w:rPr>
          <w:rFonts w:hint="eastAsia" w:ascii="仿宋" w:hAnsi="仿宋" w:eastAsia="仿宋" w:cs="仿宋"/>
          <w:sz w:val="28"/>
          <w:szCs w:val="28"/>
        </w:rPr>
        <w:t>规划期内，龙岩市有色金属产业共规划项目</w:t>
      </w:r>
      <w:r>
        <w:rPr>
          <w:rFonts w:ascii="仿宋" w:hAnsi="仿宋" w:eastAsia="仿宋" w:cs="仿宋"/>
          <w:sz w:val="28"/>
          <w:szCs w:val="28"/>
        </w:rPr>
        <w:t>152</w:t>
      </w:r>
      <w:r>
        <w:rPr>
          <w:rFonts w:hint="eastAsia" w:ascii="仿宋" w:hAnsi="仿宋" w:eastAsia="仿宋" w:cs="仿宋"/>
          <w:sz w:val="28"/>
          <w:szCs w:val="28"/>
        </w:rPr>
        <w:t>个（含在建和拟建项目），其中产业项目</w:t>
      </w:r>
      <w:r>
        <w:rPr>
          <w:rFonts w:ascii="仿宋" w:hAnsi="仿宋" w:eastAsia="仿宋" w:cs="仿宋"/>
          <w:sz w:val="28"/>
          <w:szCs w:val="28"/>
        </w:rPr>
        <w:t>150</w:t>
      </w:r>
      <w:r>
        <w:rPr>
          <w:rFonts w:hint="eastAsia" w:ascii="仿宋" w:hAnsi="仿宋" w:eastAsia="仿宋" w:cs="仿宋"/>
          <w:sz w:val="28"/>
          <w:szCs w:val="28"/>
        </w:rPr>
        <w:t>个，合计投资额约</w:t>
      </w:r>
      <w:r>
        <w:rPr>
          <w:rFonts w:ascii="仿宋" w:hAnsi="仿宋" w:eastAsia="仿宋" w:cs="仿宋"/>
          <w:sz w:val="28"/>
          <w:szCs w:val="28"/>
        </w:rPr>
        <w:t>475</w:t>
      </w:r>
      <w:r>
        <w:rPr>
          <w:rFonts w:hint="eastAsia" w:ascii="仿宋" w:hAnsi="仿宋" w:eastAsia="仿宋" w:cs="仿宋"/>
          <w:sz w:val="28"/>
          <w:szCs w:val="28"/>
        </w:rPr>
        <w:t>亿元，达产总产值约</w:t>
      </w:r>
      <w:r>
        <w:rPr>
          <w:rFonts w:ascii="仿宋" w:hAnsi="仿宋" w:eastAsia="仿宋" w:cs="仿宋"/>
          <w:sz w:val="28"/>
          <w:szCs w:val="28"/>
        </w:rPr>
        <w:t>1475</w:t>
      </w:r>
      <w:r>
        <w:rPr>
          <w:rFonts w:hint="eastAsia" w:ascii="仿宋" w:hAnsi="仿宋" w:eastAsia="仿宋" w:cs="仿宋"/>
          <w:sz w:val="28"/>
          <w:szCs w:val="28"/>
        </w:rPr>
        <w:t>亿元；重点配套项目</w:t>
      </w:r>
      <w:r>
        <w:rPr>
          <w:rFonts w:ascii="仿宋" w:hAnsi="仿宋" w:eastAsia="仿宋" w:cs="仿宋"/>
          <w:sz w:val="28"/>
          <w:szCs w:val="28"/>
        </w:rPr>
        <w:t>2</w:t>
      </w:r>
      <w:r>
        <w:rPr>
          <w:rFonts w:hint="eastAsia" w:ascii="仿宋" w:hAnsi="仿宋" w:eastAsia="仿宋" w:cs="仿宋"/>
          <w:sz w:val="28"/>
          <w:szCs w:val="28"/>
        </w:rPr>
        <w:t>个，合计投资额</w:t>
      </w:r>
      <w:r>
        <w:rPr>
          <w:rFonts w:ascii="仿宋" w:hAnsi="仿宋" w:eastAsia="仿宋" w:cs="仿宋"/>
          <w:sz w:val="28"/>
          <w:szCs w:val="28"/>
        </w:rPr>
        <w:t>354</w:t>
      </w:r>
      <w:r>
        <w:rPr>
          <w:rFonts w:hint="eastAsia" w:ascii="仿宋" w:hAnsi="仿宋" w:eastAsia="仿宋" w:cs="仿宋"/>
          <w:sz w:val="28"/>
          <w:szCs w:val="28"/>
        </w:rPr>
        <w:t>亿元。</w:t>
      </w:r>
    </w:p>
    <w:p>
      <w:pPr>
        <w:spacing w:before="240"/>
        <w:ind w:firstLine="560"/>
        <w:rPr>
          <w:rFonts w:ascii="华文仿宋" w:hAnsi="华文仿宋" w:eastAsia="华文仿宋" w:cs="Times New Roman"/>
          <w:sz w:val="28"/>
          <w:szCs w:val="28"/>
        </w:rPr>
      </w:pPr>
      <w:r>
        <w:rPr>
          <w:rFonts w:hint="eastAsia" w:ascii="仿宋" w:hAnsi="仿宋" w:eastAsia="仿宋" w:cs="仿宋"/>
          <w:sz w:val="28"/>
          <w:szCs w:val="28"/>
        </w:rPr>
        <w:t>规划的</w:t>
      </w:r>
      <w:r>
        <w:rPr>
          <w:rFonts w:ascii="仿宋" w:hAnsi="仿宋" w:eastAsia="仿宋" w:cs="仿宋"/>
          <w:sz w:val="28"/>
          <w:szCs w:val="28"/>
        </w:rPr>
        <w:t>150</w:t>
      </w:r>
      <w:r>
        <w:rPr>
          <w:rFonts w:hint="eastAsia" w:ascii="仿宋" w:hAnsi="仿宋" w:eastAsia="仿宋" w:cs="仿宋"/>
          <w:sz w:val="28"/>
          <w:szCs w:val="28"/>
        </w:rPr>
        <w:t>个产业项目中，包括铜产业项目</w:t>
      </w:r>
      <w:r>
        <w:rPr>
          <w:rFonts w:ascii="仿宋" w:hAnsi="仿宋" w:eastAsia="仿宋" w:cs="仿宋"/>
          <w:sz w:val="28"/>
          <w:szCs w:val="28"/>
        </w:rPr>
        <w:t>111</w:t>
      </w:r>
      <w:r>
        <w:rPr>
          <w:rFonts w:hint="eastAsia" w:ascii="仿宋" w:hAnsi="仿宋" w:eastAsia="仿宋" w:cs="仿宋"/>
          <w:sz w:val="28"/>
          <w:szCs w:val="28"/>
        </w:rPr>
        <w:t>个，投资总额约</w:t>
      </w:r>
      <w:r>
        <w:rPr>
          <w:rFonts w:ascii="仿宋" w:hAnsi="仿宋" w:eastAsia="仿宋" w:cs="仿宋"/>
          <w:sz w:val="28"/>
          <w:szCs w:val="28"/>
        </w:rPr>
        <w:t>337</w:t>
      </w:r>
      <w:r>
        <w:rPr>
          <w:rFonts w:hint="eastAsia" w:ascii="仿宋" w:hAnsi="仿宋" w:eastAsia="仿宋" w:cs="仿宋"/>
          <w:sz w:val="28"/>
          <w:szCs w:val="28"/>
        </w:rPr>
        <w:t>亿元，达产产值约</w:t>
      </w:r>
      <w:r>
        <w:rPr>
          <w:rFonts w:ascii="仿宋" w:hAnsi="仿宋" w:eastAsia="仿宋" w:cs="仿宋"/>
          <w:sz w:val="28"/>
          <w:szCs w:val="28"/>
        </w:rPr>
        <w:t>934</w:t>
      </w:r>
      <w:r>
        <w:rPr>
          <w:rFonts w:hint="eastAsia" w:ascii="仿宋" w:hAnsi="仿宋" w:eastAsia="仿宋" w:cs="仿宋"/>
          <w:sz w:val="28"/>
          <w:szCs w:val="28"/>
        </w:rPr>
        <w:t>亿元；金银等稀贵金属产业项目</w:t>
      </w:r>
      <w:r>
        <w:rPr>
          <w:rFonts w:ascii="仿宋" w:hAnsi="仿宋" w:eastAsia="仿宋" w:cs="仿宋"/>
          <w:sz w:val="28"/>
          <w:szCs w:val="28"/>
        </w:rPr>
        <w:t>20</w:t>
      </w:r>
      <w:r>
        <w:rPr>
          <w:rFonts w:hint="eastAsia" w:ascii="仿宋" w:hAnsi="仿宋" w:eastAsia="仿宋" w:cs="仿宋"/>
          <w:sz w:val="28"/>
          <w:szCs w:val="28"/>
        </w:rPr>
        <w:t>个（黄金项目</w:t>
      </w:r>
      <w:r>
        <w:rPr>
          <w:rFonts w:ascii="仿宋" w:hAnsi="仿宋" w:eastAsia="仿宋" w:cs="仿宋"/>
          <w:sz w:val="28"/>
          <w:szCs w:val="28"/>
        </w:rPr>
        <w:t>7</w:t>
      </w:r>
      <w:r>
        <w:rPr>
          <w:rFonts w:hint="eastAsia" w:ascii="仿宋" w:hAnsi="仿宋" w:eastAsia="仿宋" w:cs="仿宋"/>
          <w:sz w:val="28"/>
          <w:szCs w:val="28"/>
        </w:rPr>
        <w:t>个、白银项目</w:t>
      </w:r>
      <w:r>
        <w:rPr>
          <w:rFonts w:ascii="仿宋" w:hAnsi="仿宋" w:eastAsia="仿宋" w:cs="仿宋"/>
          <w:sz w:val="28"/>
          <w:szCs w:val="28"/>
        </w:rPr>
        <w:t>8</w:t>
      </w:r>
      <w:r>
        <w:rPr>
          <w:rFonts w:hint="eastAsia" w:ascii="仿宋" w:hAnsi="仿宋" w:eastAsia="仿宋" w:cs="仿宋"/>
          <w:sz w:val="28"/>
          <w:szCs w:val="28"/>
        </w:rPr>
        <w:t>个、铂钯等项目</w:t>
      </w:r>
      <w:r>
        <w:rPr>
          <w:rFonts w:ascii="仿宋" w:hAnsi="仿宋" w:eastAsia="仿宋" w:cs="仿宋"/>
          <w:sz w:val="28"/>
          <w:szCs w:val="28"/>
        </w:rPr>
        <w:t>5</w:t>
      </w:r>
      <w:r>
        <w:rPr>
          <w:rFonts w:hint="eastAsia" w:ascii="仿宋" w:hAnsi="仿宋" w:eastAsia="仿宋" w:cs="仿宋"/>
          <w:sz w:val="28"/>
          <w:szCs w:val="28"/>
        </w:rPr>
        <w:t>个），投资总额约</w:t>
      </w:r>
      <w:r>
        <w:rPr>
          <w:rFonts w:ascii="仿宋" w:hAnsi="仿宋" w:eastAsia="仿宋" w:cs="仿宋"/>
          <w:sz w:val="28"/>
          <w:szCs w:val="28"/>
        </w:rPr>
        <w:t>54</w:t>
      </w:r>
      <w:r>
        <w:rPr>
          <w:rFonts w:hint="eastAsia" w:ascii="仿宋" w:hAnsi="仿宋" w:eastAsia="仿宋" w:cs="仿宋"/>
          <w:sz w:val="28"/>
          <w:szCs w:val="28"/>
        </w:rPr>
        <w:t>亿元，达产产值约</w:t>
      </w:r>
      <w:r>
        <w:rPr>
          <w:rFonts w:ascii="仿宋" w:hAnsi="仿宋" w:eastAsia="仿宋" w:cs="仿宋"/>
          <w:sz w:val="28"/>
          <w:szCs w:val="28"/>
        </w:rPr>
        <w:t>284</w:t>
      </w:r>
      <w:r>
        <w:rPr>
          <w:rFonts w:hint="eastAsia" w:ascii="仿宋" w:hAnsi="仿宋" w:eastAsia="仿宋" w:cs="仿宋"/>
          <w:sz w:val="28"/>
          <w:szCs w:val="28"/>
        </w:rPr>
        <w:t>亿元；稀土产业项目</w:t>
      </w:r>
      <w:r>
        <w:rPr>
          <w:rFonts w:ascii="仿宋" w:hAnsi="仿宋" w:eastAsia="仿宋" w:cs="仿宋"/>
          <w:sz w:val="28"/>
          <w:szCs w:val="28"/>
        </w:rPr>
        <w:t>12</w:t>
      </w:r>
      <w:r>
        <w:rPr>
          <w:rFonts w:hint="eastAsia" w:ascii="仿宋" w:hAnsi="仿宋" w:eastAsia="仿宋" w:cs="仿宋"/>
          <w:sz w:val="28"/>
          <w:szCs w:val="28"/>
        </w:rPr>
        <w:t>个，投资总额约</w:t>
      </w:r>
      <w:r>
        <w:rPr>
          <w:rFonts w:ascii="仿宋" w:hAnsi="仿宋" w:eastAsia="仿宋" w:cs="仿宋"/>
          <w:sz w:val="28"/>
          <w:szCs w:val="28"/>
        </w:rPr>
        <w:t>75</w:t>
      </w:r>
      <w:r>
        <w:rPr>
          <w:rFonts w:hint="eastAsia" w:ascii="仿宋" w:hAnsi="仿宋" w:eastAsia="仿宋" w:cs="仿宋"/>
          <w:sz w:val="28"/>
          <w:szCs w:val="28"/>
        </w:rPr>
        <w:t>亿元，达产产值约</w:t>
      </w:r>
      <w:r>
        <w:rPr>
          <w:rFonts w:ascii="仿宋" w:hAnsi="仿宋" w:eastAsia="仿宋" w:cs="仿宋"/>
          <w:sz w:val="28"/>
          <w:szCs w:val="28"/>
        </w:rPr>
        <w:t>249</w:t>
      </w:r>
      <w:r>
        <w:rPr>
          <w:rFonts w:hint="eastAsia" w:ascii="仿宋" w:hAnsi="仿宋" w:eastAsia="仿宋" w:cs="仿宋"/>
          <w:sz w:val="28"/>
          <w:szCs w:val="28"/>
        </w:rPr>
        <w:t>亿元；钨产业项目</w:t>
      </w:r>
      <w:r>
        <w:rPr>
          <w:rFonts w:ascii="仿宋" w:hAnsi="仿宋" w:eastAsia="仿宋" w:cs="仿宋"/>
          <w:sz w:val="28"/>
          <w:szCs w:val="28"/>
        </w:rPr>
        <w:t>5</w:t>
      </w:r>
      <w:r>
        <w:rPr>
          <w:rFonts w:hint="eastAsia" w:ascii="仿宋" w:hAnsi="仿宋" w:eastAsia="仿宋" w:cs="仿宋"/>
          <w:sz w:val="28"/>
          <w:szCs w:val="28"/>
        </w:rPr>
        <w:t>个，投资总额约</w:t>
      </w:r>
      <w:r>
        <w:rPr>
          <w:rFonts w:ascii="仿宋" w:hAnsi="仿宋" w:eastAsia="仿宋" w:cs="仿宋"/>
          <w:sz w:val="28"/>
          <w:szCs w:val="28"/>
        </w:rPr>
        <w:t>6.4</w:t>
      </w:r>
      <w:r>
        <w:rPr>
          <w:rFonts w:hint="eastAsia" w:ascii="仿宋" w:hAnsi="仿宋" w:eastAsia="仿宋" w:cs="仿宋"/>
          <w:sz w:val="28"/>
          <w:szCs w:val="28"/>
        </w:rPr>
        <w:t>亿元，达产产值约</w:t>
      </w:r>
      <w:r>
        <w:rPr>
          <w:rFonts w:ascii="仿宋" w:hAnsi="仿宋" w:eastAsia="仿宋" w:cs="仿宋"/>
          <w:sz w:val="28"/>
          <w:szCs w:val="28"/>
        </w:rPr>
        <w:t>6</w:t>
      </w:r>
      <w:r>
        <w:rPr>
          <w:rFonts w:hint="eastAsia" w:ascii="仿宋" w:hAnsi="仿宋" w:eastAsia="仿宋" w:cs="仿宋"/>
          <w:sz w:val="28"/>
          <w:szCs w:val="28"/>
        </w:rPr>
        <w:t>亿元；其他有色金属项目</w:t>
      </w:r>
      <w:r>
        <w:rPr>
          <w:rFonts w:ascii="仿宋" w:hAnsi="仿宋" w:eastAsia="仿宋" w:cs="仿宋"/>
          <w:sz w:val="28"/>
          <w:szCs w:val="28"/>
        </w:rPr>
        <w:t>2</w:t>
      </w:r>
      <w:r>
        <w:rPr>
          <w:rFonts w:hint="eastAsia" w:ascii="仿宋" w:hAnsi="仿宋" w:eastAsia="仿宋" w:cs="仿宋"/>
          <w:sz w:val="28"/>
          <w:szCs w:val="28"/>
        </w:rPr>
        <w:t>个，投资总额约</w:t>
      </w:r>
      <w:r>
        <w:rPr>
          <w:rFonts w:ascii="仿宋" w:hAnsi="仿宋" w:eastAsia="仿宋" w:cs="仿宋"/>
          <w:sz w:val="28"/>
          <w:szCs w:val="28"/>
        </w:rPr>
        <w:t>2.5</w:t>
      </w:r>
      <w:r>
        <w:rPr>
          <w:rFonts w:hint="eastAsia" w:ascii="仿宋" w:hAnsi="仿宋" w:eastAsia="仿宋" w:cs="仿宋"/>
          <w:sz w:val="28"/>
          <w:szCs w:val="28"/>
        </w:rPr>
        <w:t>亿元，达产产值约</w:t>
      </w:r>
      <w:r>
        <w:rPr>
          <w:rFonts w:ascii="仿宋" w:hAnsi="仿宋" w:eastAsia="仿宋" w:cs="仿宋"/>
          <w:sz w:val="28"/>
          <w:szCs w:val="28"/>
        </w:rPr>
        <w:t>4.2</w:t>
      </w:r>
      <w:r>
        <w:rPr>
          <w:rFonts w:hint="eastAsia" w:ascii="仿宋" w:hAnsi="仿宋" w:eastAsia="仿宋" w:cs="仿宋"/>
          <w:sz w:val="28"/>
          <w:szCs w:val="28"/>
        </w:rPr>
        <w:t>亿元。</w:t>
      </w:r>
    </w:p>
    <w:p>
      <w:pPr>
        <w:spacing w:beforeLines="50"/>
        <w:jc w:val="center"/>
        <w:rPr>
          <w:rStyle w:val="16"/>
          <w:rFonts w:ascii="黑体" w:hAnsi="黑体" w:eastAsia="黑体" w:cs="Times New Roman"/>
          <w:b w:val="0"/>
          <w:bCs w:val="0"/>
        </w:rPr>
      </w:pPr>
      <w:r>
        <w:rPr>
          <w:rStyle w:val="16"/>
          <w:rFonts w:hint="eastAsia" w:ascii="黑体" w:hAnsi="黑体" w:eastAsia="黑体" w:cs="黑体"/>
          <w:b w:val="0"/>
          <w:bCs w:val="0"/>
        </w:rPr>
        <w:t>附表</w:t>
      </w:r>
      <w:r>
        <w:rPr>
          <w:rStyle w:val="16"/>
          <w:rFonts w:ascii="黑体" w:hAnsi="黑体" w:eastAsia="黑体" w:cs="黑体"/>
          <w:b w:val="0"/>
          <w:bCs w:val="0"/>
        </w:rPr>
        <w:t xml:space="preserve">1-1  </w:t>
      </w:r>
      <w:r>
        <w:rPr>
          <w:rStyle w:val="16"/>
          <w:rFonts w:hint="eastAsia" w:ascii="黑体" w:hAnsi="黑体" w:eastAsia="黑体" w:cs="黑体"/>
          <w:b w:val="0"/>
          <w:bCs w:val="0"/>
        </w:rPr>
        <w:t>十四五”龙岩市铜产业规划项目</w:t>
      </w:r>
      <w:r>
        <w:rPr>
          <w:rStyle w:val="16"/>
          <w:rFonts w:ascii="黑体" w:hAnsi="黑体" w:eastAsia="黑体" w:cs="黑体"/>
          <w:b w:val="0"/>
          <w:bCs w:val="0"/>
        </w:rPr>
        <w:t xml:space="preserve">     </w:t>
      </w:r>
      <w:r>
        <w:rPr>
          <w:rStyle w:val="16"/>
          <w:rFonts w:hint="eastAsia" w:ascii="黑体" w:hAnsi="黑体" w:eastAsia="黑体" w:cs="黑体"/>
          <w:b w:val="0"/>
          <w:bCs w:val="0"/>
        </w:rPr>
        <w:t>单位：万元</w:t>
      </w:r>
    </w:p>
    <w:tbl>
      <w:tblPr>
        <w:tblW w:w="13928" w:type="dxa"/>
        <w:tblInd w:w="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560"/>
        <w:gridCol w:w="2562"/>
        <w:gridCol w:w="1862"/>
        <w:gridCol w:w="3947"/>
        <w:gridCol w:w="1190"/>
        <w:gridCol w:w="1148"/>
        <w:gridCol w:w="1217"/>
        <w:gridCol w:w="1442"/>
      </w:tblGrid>
      <w:tr>
        <w:trPr>
          <w:trHeight w:val="450" w:hRule="atLeast"/>
          <w:tblHeader/>
        </w:trPr>
        <w:tc>
          <w:tcPr>
            <w:tcW w:w="560" w:type="dxa"/>
            <w:tcBorders>
              <w:top w:val="single" w:color="auto" w:sz="4" w:space="0"/>
              <w:left w:val="single" w:color="auto" w:sz="4" w:space="0"/>
              <w:bottom w:val="single" w:color="auto" w:sz="4" w:space="0"/>
              <w:right w:val="single" w:color="auto" w:sz="4" w:space="0"/>
            </w:tcBorders>
            <w:shd w:val="clear" w:color="000000" w:fill="D9D9D9"/>
            <w:vAlign w:val="center"/>
          </w:tcPr>
          <w:p>
            <w:pPr>
              <w:widowControl/>
              <w:jc w:val="center"/>
              <w:rPr>
                <w:rFonts w:ascii="宋体" w:cs="Times New Roman"/>
                <w:b/>
                <w:bCs/>
                <w:kern w:val="0"/>
                <w:sz w:val="18"/>
                <w:szCs w:val="18"/>
              </w:rPr>
            </w:pPr>
            <w:r>
              <w:rPr>
                <w:rFonts w:hint="eastAsia" w:ascii="宋体" w:hAnsi="宋体" w:cs="宋体"/>
                <w:b/>
                <w:bCs/>
                <w:kern w:val="0"/>
                <w:sz w:val="18"/>
                <w:szCs w:val="18"/>
              </w:rPr>
              <w:t>序号</w:t>
            </w:r>
          </w:p>
        </w:tc>
        <w:tc>
          <w:tcPr>
            <w:tcW w:w="2562" w:type="dxa"/>
            <w:tcBorders>
              <w:top w:val="single" w:color="auto" w:sz="4" w:space="0"/>
              <w:left w:val="nil"/>
              <w:bottom w:val="single" w:color="auto" w:sz="4" w:space="0"/>
              <w:right w:val="single" w:color="auto" w:sz="4" w:space="0"/>
            </w:tcBorders>
            <w:shd w:val="clear" w:color="000000" w:fill="D9D9D9"/>
            <w:vAlign w:val="center"/>
          </w:tcPr>
          <w:p>
            <w:pPr>
              <w:widowControl/>
              <w:jc w:val="center"/>
              <w:rPr>
                <w:rFonts w:ascii="宋体" w:cs="Times New Roman"/>
                <w:b/>
                <w:bCs/>
                <w:kern w:val="0"/>
                <w:sz w:val="18"/>
                <w:szCs w:val="18"/>
              </w:rPr>
            </w:pPr>
            <w:r>
              <w:rPr>
                <w:rFonts w:hint="eastAsia" w:ascii="宋体" w:hAnsi="宋体" w:cs="宋体"/>
                <w:b/>
                <w:bCs/>
                <w:kern w:val="0"/>
                <w:sz w:val="18"/>
                <w:szCs w:val="18"/>
              </w:rPr>
              <w:t>项目名称</w:t>
            </w:r>
          </w:p>
        </w:tc>
        <w:tc>
          <w:tcPr>
            <w:tcW w:w="1862" w:type="dxa"/>
            <w:tcBorders>
              <w:top w:val="single" w:color="auto" w:sz="4" w:space="0"/>
              <w:left w:val="nil"/>
              <w:bottom w:val="single" w:color="auto" w:sz="4" w:space="0"/>
              <w:right w:val="single" w:color="auto" w:sz="4" w:space="0"/>
            </w:tcBorders>
            <w:shd w:val="clear" w:color="000000" w:fill="D9D9D9"/>
            <w:vAlign w:val="center"/>
          </w:tcPr>
          <w:p>
            <w:pPr>
              <w:widowControl/>
              <w:jc w:val="center"/>
              <w:rPr>
                <w:rFonts w:ascii="宋体" w:cs="Times New Roman"/>
                <w:b/>
                <w:bCs/>
                <w:kern w:val="0"/>
                <w:sz w:val="18"/>
                <w:szCs w:val="18"/>
              </w:rPr>
            </w:pPr>
            <w:r>
              <w:rPr>
                <w:rFonts w:hint="eastAsia" w:ascii="宋体" w:hAnsi="宋体" w:cs="宋体"/>
                <w:b/>
                <w:bCs/>
                <w:kern w:val="0"/>
                <w:sz w:val="18"/>
                <w:szCs w:val="18"/>
              </w:rPr>
              <w:t>依托企业或招商企业名称</w:t>
            </w:r>
          </w:p>
        </w:tc>
        <w:tc>
          <w:tcPr>
            <w:tcW w:w="3947" w:type="dxa"/>
            <w:tcBorders>
              <w:top w:val="single" w:color="auto" w:sz="4" w:space="0"/>
              <w:left w:val="nil"/>
              <w:bottom w:val="single" w:color="auto" w:sz="4" w:space="0"/>
              <w:right w:val="single" w:color="auto" w:sz="4" w:space="0"/>
            </w:tcBorders>
            <w:shd w:val="clear" w:color="000000" w:fill="D9D9D9"/>
            <w:vAlign w:val="center"/>
          </w:tcPr>
          <w:p>
            <w:pPr>
              <w:widowControl/>
              <w:jc w:val="center"/>
              <w:rPr>
                <w:rFonts w:ascii="宋体" w:cs="Times New Roman"/>
                <w:b/>
                <w:bCs/>
                <w:kern w:val="0"/>
                <w:sz w:val="18"/>
                <w:szCs w:val="18"/>
              </w:rPr>
            </w:pPr>
            <w:r>
              <w:rPr>
                <w:rFonts w:hint="eastAsia" w:ascii="宋体" w:hAnsi="宋体" w:cs="宋体"/>
                <w:b/>
                <w:bCs/>
                <w:kern w:val="0"/>
                <w:sz w:val="18"/>
                <w:szCs w:val="18"/>
              </w:rPr>
              <w:t>建设内容及规模</w:t>
            </w:r>
          </w:p>
        </w:tc>
        <w:tc>
          <w:tcPr>
            <w:tcW w:w="1190" w:type="dxa"/>
            <w:tcBorders>
              <w:top w:val="single" w:color="auto" w:sz="4" w:space="0"/>
              <w:left w:val="nil"/>
              <w:bottom w:val="single" w:color="auto" w:sz="4" w:space="0"/>
              <w:right w:val="single" w:color="auto" w:sz="4" w:space="0"/>
            </w:tcBorders>
            <w:shd w:val="clear" w:color="000000" w:fill="D9D9D9"/>
            <w:vAlign w:val="center"/>
          </w:tcPr>
          <w:p>
            <w:pPr>
              <w:widowControl/>
              <w:jc w:val="center"/>
              <w:rPr>
                <w:rFonts w:ascii="宋体" w:cs="Times New Roman"/>
                <w:b/>
                <w:bCs/>
                <w:kern w:val="0"/>
                <w:sz w:val="18"/>
                <w:szCs w:val="18"/>
              </w:rPr>
            </w:pPr>
            <w:r>
              <w:rPr>
                <w:rFonts w:hint="eastAsia" w:ascii="宋体" w:hAnsi="宋体" w:cs="宋体"/>
                <w:b/>
                <w:bCs/>
                <w:kern w:val="0"/>
                <w:sz w:val="18"/>
                <w:szCs w:val="18"/>
              </w:rPr>
              <w:t>投资额</w:t>
            </w:r>
          </w:p>
        </w:tc>
        <w:tc>
          <w:tcPr>
            <w:tcW w:w="1148" w:type="dxa"/>
            <w:tcBorders>
              <w:top w:val="single" w:color="auto" w:sz="4" w:space="0"/>
              <w:left w:val="nil"/>
              <w:bottom w:val="single" w:color="auto" w:sz="4" w:space="0"/>
              <w:right w:val="single" w:color="auto" w:sz="4" w:space="0"/>
            </w:tcBorders>
            <w:shd w:val="clear" w:color="000000" w:fill="D9D9D9"/>
            <w:vAlign w:val="center"/>
          </w:tcPr>
          <w:p>
            <w:pPr>
              <w:widowControl/>
              <w:jc w:val="center"/>
              <w:rPr>
                <w:rFonts w:ascii="宋体" w:cs="Times New Roman"/>
                <w:b/>
                <w:bCs/>
                <w:kern w:val="0"/>
                <w:sz w:val="18"/>
                <w:szCs w:val="18"/>
              </w:rPr>
            </w:pPr>
            <w:r>
              <w:rPr>
                <w:rFonts w:hint="eastAsia" w:ascii="宋体" w:hAnsi="宋体" w:cs="宋体"/>
                <w:b/>
                <w:bCs/>
                <w:kern w:val="0"/>
                <w:sz w:val="18"/>
                <w:szCs w:val="18"/>
              </w:rPr>
              <w:t>达产产值</w:t>
            </w:r>
          </w:p>
        </w:tc>
        <w:tc>
          <w:tcPr>
            <w:tcW w:w="1217" w:type="dxa"/>
            <w:tcBorders>
              <w:top w:val="single" w:color="auto" w:sz="4" w:space="0"/>
              <w:left w:val="nil"/>
              <w:bottom w:val="single" w:color="auto" w:sz="4" w:space="0"/>
              <w:right w:val="single" w:color="auto" w:sz="4" w:space="0"/>
            </w:tcBorders>
            <w:shd w:val="clear" w:color="000000" w:fill="D9D9D9"/>
            <w:vAlign w:val="center"/>
          </w:tcPr>
          <w:p>
            <w:pPr>
              <w:widowControl/>
              <w:jc w:val="center"/>
              <w:rPr>
                <w:rFonts w:ascii="宋体" w:cs="Times New Roman"/>
                <w:b/>
                <w:bCs/>
                <w:kern w:val="0"/>
                <w:sz w:val="18"/>
                <w:szCs w:val="18"/>
              </w:rPr>
            </w:pPr>
            <w:r>
              <w:rPr>
                <w:rFonts w:hint="eastAsia" w:ascii="宋体" w:hAnsi="宋体" w:cs="宋体"/>
                <w:b/>
                <w:bCs/>
                <w:kern w:val="0"/>
                <w:sz w:val="18"/>
                <w:szCs w:val="18"/>
              </w:rPr>
              <w:t>所属产业链</w:t>
            </w:r>
          </w:p>
        </w:tc>
        <w:tc>
          <w:tcPr>
            <w:tcW w:w="1442" w:type="dxa"/>
            <w:tcBorders>
              <w:top w:val="single" w:color="auto" w:sz="4" w:space="0"/>
              <w:left w:val="nil"/>
              <w:bottom w:val="single" w:color="auto" w:sz="4" w:space="0"/>
              <w:right w:val="single" w:color="auto" w:sz="4" w:space="0"/>
            </w:tcBorders>
            <w:shd w:val="clear" w:color="000000" w:fill="D9D9D9"/>
            <w:vAlign w:val="center"/>
          </w:tcPr>
          <w:p>
            <w:pPr>
              <w:widowControl/>
              <w:jc w:val="center"/>
              <w:rPr>
                <w:rFonts w:ascii="宋体" w:cs="Times New Roman"/>
                <w:b/>
                <w:bCs/>
                <w:kern w:val="0"/>
                <w:sz w:val="18"/>
                <w:szCs w:val="18"/>
              </w:rPr>
            </w:pPr>
            <w:r>
              <w:rPr>
                <w:rFonts w:hint="eastAsia" w:ascii="宋体" w:hAnsi="宋体" w:cs="宋体"/>
                <w:b/>
                <w:bCs/>
                <w:kern w:val="0"/>
                <w:sz w:val="18"/>
                <w:szCs w:val="18"/>
              </w:rPr>
              <w:t>建设地</w:t>
            </w:r>
          </w:p>
        </w:tc>
      </w:tr>
      <w:tr>
        <w:trPr>
          <w:trHeight w:val="450" w:hRule="atLeast"/>
        </w:trPr>
        <w:tc>
          <w:tcPr>
            <w:tcW w:w="560" w:type="dxa"/>
            <w:tcBorders>
              <w:top w:val="nil"/>
              <w:left w:val="single" w:color="auto" w:sz="4" w:space="0"/>
              <w:bottom w:val="single" w:color="auto" w:sz="4" w:space="0"/>
              <w:right w:val="single" w:color="auto" w:sz="4" w:space="0"/>
            </w:tcBorders>
            <w:shd w:val="clear" w:color="000000" w:fill="D9D9D9"/>
            <w:vAlign w:val="center"/>
          </w:tcPr>
          <w:p>
            <w:pPr>
              <w:widowControl/>
              <w:jc w:val="center"/>
              <w:rPr>
                <w:rFonts w:ascii="宋体" w:cs="Times New Roman"/>
                <w:b/>
                <w:bCs/>
                <w:kern w:val="0"/>
                <w:sz w:val="18"/>
                <w:szCs w:val="18"/>
              </w:rPr>
            </w:pPr>
            <w:r>
              <w:rPr>
                <w:rFonts w:ascii="宋体" w:hAnsi="宋体" w:cs="宋体"/>
                <w:b/>
                <w:bCs/>
                <w:kern w:val="0"/>
                <w:sz w:val="18"/>
                <w:szCs w:val="18"/>
              </w:rPr>
              <w:t>1</w:t>
            </w:r>
          </w:p>
        </w:tc>
        <w:tc>
          <w:tcPr>
            <w:tcW w:w="25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上杭紫金山环境安全整体提升工程</w:t>
            </w:r>
          </w:p>
        </w:tc>
        <w:tc>
          <w:tcPr>
            <w:tcW w:w="1862" w:type="dxa"/>
            <w:tcBorders>
              <w:top w:val="nil"/>
              <w:left w:val="nil"/>
              <w:bottom w:val="single" w:color="auto" w:sz="4" w:space="0"/>
              <w:right w:val="single" w:color="auto" w:sz="4" w:space="0"/>
            </w:tcBorders>
            <w:shd w:val="clear" w:color="000000" w:fill="FFFFFF"/>
            <w:vAlign w:val="center"/>
          </w:tcPr>
          <w:p>
            <w:pPr>
              <w:widowControl/>
              <w:spacing w:line="260" w:lineRule="exact"/>
              <w:jc w:val="left"/>
              <w:rPr>
                <w:rFonts w:ascii="Times New Roman" w:hAnsi="Times New Roman" w:cs="Times New Roman"/>
                <w:kern w:val="0"/>
                <w:sz w:val="18"/>
                <w:szCs w:val="18"/>
              </w:rPr>
            </w:pPr>
            <w:r>
              <w:rPr>
                <w:rFonts w:hint="eastAsia" w:ascii="宋体" w:hAnsi="宋体" w:cs="宋体"/>
                <w:kern w:val="0"/>
                <w:sz w:val="18"/>
                <w:szCs w:val="18"/>
              </w:rPr>
              <w:t>紫金矿业集团股份有限公司</w:t>
            </w:r>
            <w:r>
              <w:rPr>
                <w:rFonts w:hint="eastAsia" w:ascii="Times New Roman" w:hAnsi="Times New Roman" w:cs="宋体"/>
                <w:kern w:val="0"/>
                <w:sz w:val="18"/>
                <w:szCs w:val="18"/>
              </w:rPr>
              <w:t>紫金山金铜矿</w:t>
            </w:r>
          </w:p>
        </w:tc>
        <w:tc>
          <w:tcPr>
            <w:tcW w:w="3947"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Times New Roman" w:hAnsi="Times New Roman" w:cs="宋体"/>
                <w:kern w:val="0"/>
                <w:sz w:val="18"/>
                <w:szCs w:val="18"/>
              </w:rPr>
              <w:t>提升矿区</w:t>
            </w:r>
            <w:r>
              <w:rPr>
                <w:rFonts w:hint="eastAsia" w:ascii="宋体" w:hAnsi="宋体" w:cs="宋体"/>
                <w:kern w:val="0"/>
                <w:sz w:val="18"/>
                <w:szCs w:val="18"/>
              </w:rPr>
              <w:t>整体环境安全。</w:t>
            </w:r>
          </w:p>
        </w:tc>
        <w:tc>
          <w:tcPr>
            <w:tcW w:w="1190"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180,920</w:t>
            </w:r>
          </w:p>
        </w:tc>
        <w:tc>
          <w:tcPr>
            <w:tcW w:w="1148"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hint="eastAsia" w:ascii="宋体" w:hAnsi="宋体" w:cs="宋体"/>
                <w:kern w:val="0"/>
                <w:sz w:val="18"/>
                <w:szCs w:val="18"/>
              </w:rPr>
              <w:t>　</w:t>
            </w:r>
          </w:p>
        </w:tc>
        <w:tc>
          <w:tcPr>
            <w:tcW w:w="1217"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矿山升级</w:t>
            </w:r>
          </w:p>
        </w:tc>
        <w:tc>
          <w:tcPr>
            <w:tcW w:w="1442"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紫金山金铜矿</w:t>
            </w:r>
          </w:p>
        </w:tc>
      </w:tr>
      <w:tr>
        <w:trPr>
          <w:trHeight w:val="675" w:hRule="atLeast"/>
        </w:trPr>
        <w:tc>
          <w:tcPr>
            <w:tcW w:w="560" w:type="dxa"/>
            <w:tcBorders>
              <w:top w:val="nil"/>
              <w:left w:val="single" w:color="auto" w:sz="4" w:space="0"/>
              <w:bottom w:val="single" w:color="auto" w:sz="4" w:space="0"/>
              <w:right w:val="single" w:color="auto" w:sz="4" w:space="0"/>
            </w:tcBorders>
            <w:shd w:val="clear" w:color="000000" w:fill="D9D9D9"/>
            <w:vAlign w:val="center"/>
          </w:tcPr>
          <w:p>
            <w:pPr>
              <w:widowControl/>
              <w:jc w:val="center"/>
              <w:rPr>
                <w:rFonts w:ascii="宋体" w:cs="Times New Roman"/>
                <w:b/>
                <w:bCs/>
                <w:kern w:val="0"/>
                <w:sz w:val="18"/>
                <w:szCs w:val="18"/>
              </w:rPr>
            </w:pPr>
            <w:r>
              <w:rPr>
                <w:rFonts w:ascii="宋体" w:hAnsi="宋体" w:cs="宋体"/>
                <w:b/>
                <w:bCs/>
                <w:kern w:val="0"/>
                <w:sz w:val="18"/>
                <w:szCs w:val="18"/>
              </w:rPr>
              <w:t>2</w:t>
            </w:r>
          </w:p>
        </w:tc>
        <w:tc>
          <w:tcPr>
            <w:tcW w:w="2562" w:type="dxa"/>
            <w:tcBorders>
              <w:top w:val="nil"/>
              <w:left w:val="nil"/>
              <w:bottom w:val="single" w:color="auto" w:sz="4" w:space="0"/>
              <w:right w:val="single" w:color="auto" w:sz="4" w:space="0"/>
            </w:tcBorders>
            <w:shd w:val="clear" w:color="000000" w:fill="FFFFFF"/>
            <w:vAlign w:val="center"/>
          </w:tcPr>
          <w:p>
            <w:pPr>
              <w:widowControl/>
              <w:spacing w:line="260" w:lineRule="exact"/>
              <w:jc w:val="left"/>
              <w:rPr>
                <w:rFonts w:ascii="宋体" w:cs="Times New Roman"/>
                <w:kern w:val="0"/>
                <w:sz w:val="18"/>
                <w:szCs w:val="18"/>
              </w:rPr>
            </w:pPr>
            <w:r>
              <w:rPr>
                <w:rFonts w:hint="eastAsia" w:ascii="宋体" w:hAnsi="宋体" w:cs="宋体"/>
                <w:kern w:val="0"/>
                <w:sz w:val="18"/>
                <w:szCs w:val="18"/>
              </w:rPr>
              <w:t>铜矿三选厂生产</w:t>
            </w:r>
            <w:r>
              <w:rPr>
                <w:rFonts w:hint="eastAsia" w:ascii="Times New Roman" w:hAnsi="Times New Roman" w:cs="宋体"/>
                <w:kern w:val="0"/>
                <w:sz w:val="18"/>
                <w:szCs w:val="18"/>
              </w:rPr>
              <w:t>优化</w:t>
            </w:r>
            <w:r>
              <w:rPr>
                <w:rFonts w:hint="eastAsia" w:ascii="宋体" w:hAnsi="宋体" w:cs="宋体"/>
                <w:kern w:val="0"/>
                <w:sz w:val="18"/>
                <w:szCs w:val="18"/>
              </w:rPr>
              <w:t>工程</w:t>
            </w:r>
          </w:p>
        </w:tc>
        <w:tc>
          <w:tcPr>
            <w:tcW w:w="1862" w:type="dxa"/>
            <w:tcBorders>
              <w:top w:val="nil"/>
              <w:left w:val="nil"/>
              <w:bottom w:val="single" w:color="auto" w:sz="4" w:space="0"/>
              <w:right w:val="single" w:color="auto" w:sz="4" w:space="0"/>
            </w:tcBorders>
            <w:shd w:val="clear" w:color="000000" w:fill="FFFFFF"/>
            <w:vAlign w:val="center"/>
          </w:tcPr>
          <w:p>
            <w:pPr>
              <w:widowControl/>
              <w:spacing w:line="260" w:lineRule="exact"/>
              <w:jc w:val="left"/>
              <w:rPr>
                <w:rFonts w:ascii="宋体" w:cs="Times New Roman"/>
                <w:kern w:val="0"/>
                <w:sz w:val="18"/>
                <w:szCs w:val="18"/>
              </w:rPr>
            </w:pPr>
            <w:r>
              <w:rPr>
                <w:rFonts w:hint="eastAsia" w:ascii="宋体" w:hAnsi="宋体" w:cs="宋体"/>
                <w:kern w:val="0"/>
                <w:sz w:val="18"/>
                <w:szCs w:val="18"/>
              </w:rPr>
              <w:t>紫金矿业集团股份有限公司紫金山金铜矿</w:t>
            </w:r>
          </w:p>
        </w:tc>
        <w:tc>
          <w:tcPr>
            <w:tcW w:w="3947" w:type="dxa"/>
            <w:tcBorders>
              <w:top w:val="nil"/>
              <w:left w:val="nil"/>
              <w:bottom w:val="single" w:color="auto" w:sz="4" w:space="0"/>
              <w:right w:val="single" w:color="auto" w:sz="4" w:space="0"/>
            </w:tcBorders>
            <w:shd w:val="clear" w:color="000000" w:fill="FFFFFF"/>
            <w:vAlign w:val="center"/>
          </w:tcPr>
          <w:p>
            <w:pPr>
              <w:widowControl/>
              <w:spacing w:line="260" w:lineRule="exact"/>
              <w:jc w:val="left"/>
              <w:rPr>
                <w:rFonts w:ascii="宋体" w:cs="Times New Roman"/>
                <w:kern w:val="0"/>
                <w:sz w:val="18"/>
                <w:szCs w:val="18"/>
              </w:rPr>
            </w:pPr>
            <w:r>
              <w:rPr>
                <w:rFonts w:hint="eastAsia" w:ascii="Times New Roman" w:hAnsi="Times New Roman" w:cs="宋体"/>
                <w:kern w:val="0"/>
                <w:sz w:val="18"/>
                <w:szCs w:val="18"/>
              </w:rPr>
              <w:t>紫金山金铜矿铜矿三选厂</w:t>
            </w:r>
            <w:r>
              <w:rPr>
                <w:rFonts w:hint="eastAsia" w:ascii="宋体" w:hAnsi="宋体" w:cs="宋体"/>
                <w:kern w:val="0"/>
                <w:sz w:val="18"/>
                <w:szCs w:val="18"/>
              </w:rPr>
              <w:t>生产优化工程，新增生产能力：形成年处理量</w:t>
            </w:r>
            <w:r>
              <w:rPr>
                <w:rFonts w:ascii="宋体" w:hAnsi="宋体" w:cs="宋体"/>
                <w:kern w:val="0"/>
                <w:sz w:val="18"/>
                <w:szCs w:val="18"/>
              </w:rPr>
              <w:t>1000</w:t>
            </w:r>
            <w:r>
              <w:rPr>
                <w:rFonts w:hint="eastAsia" w:ascii="宋体" w:hAnsi="宋体" w:cs="宋体"/>
                <w:kern w:val="0"/>
                <w:sz w:val="18"/>
                <w:szCs w:val="18"/>
              </w:rPr>
              <w:t>万吨铜矿石</w:t>
            </w:r>
          </w:p>
        </w:tc>
        <w:tc>
          <w:tcPr>
            <w:tcW w:w="1190"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6,324</w:t>
            </w:r>
          </w:p>
        </w:tc>
        <w:tc>
          <w:tcPr>
            <w:tcW w:w="1148"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hint="eastAsia" w:ascii="宋体" w:hAnsi="宋体" w:cs="宋体"/>
                <w:kern w:val="0"/>
                <w:sz w:val="18"/>
                <w:szCs w:val="18"/>
              </w:rPr>
              <w:t>　</w:t>
            </w:r>
          </w:p>
        </w:tc>
        <w:tc>
          <w:tcPr>
            <w:tcW w:w="1217"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矿山升级</w:t>
            </w:r>
          </w:p>
        </w:tc>
        <w:tc>
          <w:tcPr>
            <w:tcW w:w="1442"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紫金山金铜矿</w:t>
            </w:r>
          </w:p>
        </w:tc>
      </w:tr>
      <w:tr>
        <w:trPr>
          <w:trHeight w:val="900" w:hRule="atLeast"/>
        </w:trPr>
        <w:tc>
          <w:tcPr>
            <w:tcW w:w="560" w:type="dxa"/>
            <w:tcBorders>
              <w:top w:val="nil"/>
              <w:left w:val="single" w:color="auto" w:sz="4" w:space="0"/>
              <w:bottom w:val="single" w:color="auto" w:sz="4" w:space="0"/>
              <w:right w:val="single" w:color="auto" w:sz="4" w:space="0"/>
            </w:tcBorders>
            <w:shd w:val="clear" w:color="000000" w:fill="D9D9D9"/>
            <w:vAlign w:val="center"/>
          </w:tcPr>
          <w:p>
            <w:pPr>
              <w:widowControl/>
              <w:jc w:val="center"/>
              <w:rPr>
                <w:rFonts w:ascii="宋体" w:cs="Times New Roman"/>
                <w:b/>
                <w:bCs/>
                <w:kern w:val="0"/>
                <w:sz w:val="18"/>
                <w:szCs w:val="18"/>
              </w:rPr>
            </w:pPr>
            <w:r>
              <w:rPr>
                <w:rFonts w:ascii="宋体" w:hAnsi="宋体" w:cs="宋体"/>
                <w:b/>
                <w:bCs/>
                <w:kern w:val="0"/>
                <w:sz w:val="18"/>
                <w:szCs w:val="18"/>
              </w:rPr>
              <w:t>3</w:t>
            </w:r>
          </w:p>
        </w:tc>
        <w:tc>
          <w:tcPr>
            <w:tcW w:w="25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紫金铜业有限公司扩产改造项目</w:t>
            </w:r>
          </w:p>
        </w:tc>
        <w:tc>
          <w:tcPr>
            <w:tcW w:w="18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紫金铜业有限公司</w:t>
            </w:r>
          </w:p>
        </w:tc>
        <w:tc>
          <w:tcPr>
            <w:tcW w:w="3947" w:type="dxa"/>
            <w:tcBorders>
              <w:top w:val="nil"/>
              <w:left w:val="nil"/>
              <w:bottom w:val="single" w:color="auto" w:sz="4" w:space="0"/>
              <w:right w:val="single" w:color="auto" w:sz="4" w:space="0"/>
            </w:tcBorders>
            <w:shd w:val="clear" w:color="000000" w:fill="FFFFFF"/>
            <w:vAlign w:val="center"/>
          </w:tcPr>
          <w:p>
            <w:pPr>
              <w:widowControl/>
              <w:spacing w:line="260" w:lineRule="exact"/>
              <w:jc w:val="left"/>
              <w:rPr>
                <w:rFonts w:ascii="宋体" w:cs="Times New Roman"/>
                <w:kern w:val="0"/>
                <w:sz w:val="18"/>
                <w:szCs w:val="18"/>
              </w:rPr>
            </w:pPr>
            <w:r>
              <w:rPr>
                <w:rFonts w:hint="eastAsia" w:ascii="宋体" w:hAnsi="宋体" w:cs="宋体"/>
                <w:kern w:val="0"/>
                <w:sz w:val="18"/>
                <w:szCs w:val="18"/>
              </w:rPr>
              <w:t>紫金铜业有限公司扩产改造项目，粗炼产能不变，阴极铜产能由</w:t>
            </w:r>
            <w:r>
              <w:rPr>
                <w:rFonts w:ascii="宋体" w:hAnsi="宋体" w:cs="宋体"/>
                <w:kern w:val="0"/>
                <w:sz w:val="18"/>
                <w:szCs w:val="18"/>
              </w:rPr>
              <w:t>30</w:t>
            </w:r>
            <w:r>
              <w:rPr>
                <w:rFonts w:hint="eastAsia" w:ascii="宋体" w:hAnsi="宋体" w:cs="宋体"/>
                <w:kern w:val="0"/>
                <w:sz w:val="18"/>
                <w:szCs w:val="18"/>
              </w:rPr>
              <w:t>万吨</w:t>
            </w:r>
            <w:r>
              <w:rPr>
                <w:rFonts w:ascii="宋体" w:hAnsi="宋体" w:cs="宋体"/>
                <w:kern w:val="0"/>
                <w:sz w:val="18"/>
                <w:szCs w:val="18"/>
              </w:rPr>
              <w:t>/</w:t>
            </w:r>
            <w:r>
              <w:rPr>
                <w:rFonts w:hint="eastAsia" w:ascii="宋体" w:hAnsi="宋体" w:cs="宋体"/>
                <w:kern w:val="0"/>
                <w:sz w:val="18"/>
                <w:szCs w:val="18"/>
              </w:rPr>
              <w:t>年提升至</w:t>
            </w:r>
            <w:r>
              <w:rPr>
                <w:rFonts w:ascii="宋体" w:hAnsi="宋体" w:cs="宋体"/>
                <w:kern w:val="0"/>
                <w:sz w:val="18"/>
                <w:szCs w:val="18"/>
              </w:rPr>
              <w:t>40</w:t>
            </w:r>
            <w:r>
              <w:rPr>
                <w:rFonts w:hint="eastAsia" w:ascii="宋体" w:hAnsi="宋体" w:cs="宋体"/>
                <w:kern w:val="0"/>
                <w:sz w:val="18"/>
                <w:szCs w:val="18"/>
              </w:rPr>
              <w:t>万吨</w:t>
            </w:r>
            <w:r>
              <w:rPr>
                <w:rFonts w:ascii="宋体" w:hAnsi="宋体" w:cs="宋体"/>
                <w:kern w:val="0"/>
                <w:sz w:val="18"/>
                <w:szCs w:val="18"/>
              </w:rPr>
              <w:t>/</w:t>
            </w:r>
            <w:r>
              <w:rPr>
                <w:rFonts w:hint="eastAsia" w:ascii="宋体" w:hAnsi="宋体" w:cs="宋体"/>
                <w:kern w:val="0"/>
                <w:sz w:val="18"/>
                <w:szCs w:val="18"/>
              </w:rPr>
              <w:t>年。</w:t>
            </w:r>
          </w:p>
        </w:tc>
        <w:tc>
          <w:tcPr>
            <w:tcW w:w="1190"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81,070</w:t>
            </w:r>
          </w:p>
        </w:tc>
        <w:tc>
          <w:tcPr>
            <w:tcW w:w="1148"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548,410</w:t>
            </w:r>
          </w:p>
        </w:tc>
        <w:tc>
          <w:tcPr>
            <w:tcW w:w="1217"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原材料</w:t>
            </w:r>
          </w:p>
        </w:tc>
        <w:tc>
          <w:tcPr>
            <w:tcW w:w="1442"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蛟洋工业区</w:t>
            </w:r>
          </w:p>
        </w:tc>
      </w:tr>
      <w:tr>
        <w:trPr>
          <w:trHeight w:val="450" w:hRule="atLeast"/>
        </w:trPr>
        <w:tc>
          <w:tcPr>
            <w:tcW w:w="560" w:type="dxa"/>
            <w:tcBorders>
              <w:top w:val="nil"/>
              <w:left w:val="single" w:color="auto" w:sz="4" w:space="0"/>
              <w:bottom w:val="single" w:color="auto" w:sz="4" w:space="0"/>
              <w:right w:val="single" w:color="auto" w:sz="4" w:space="0"/>
            </w:tcBorders>
            <w:shd w:val="clear" w:color="000000" w:fill="D9D9D9"/>
            <w:vAlign w:val="center"/>
          </w:tcPr>
          <w:p>
            <w:pPr>
              <w:widowControl/>
              <w:jc w:val="center"/>
              <w:rPr>
                <w:rFonts w:ascii="宋体" w:cs="Times New Roman"/>
                <w:b/>
                <w:bCs/>
                <w:kern w:val="0"/>
                <w:sz w:val="18"/>
                <w:szCs w:val="18"/>
              </w:rPr>
            </w:pPr>
            <w:r>
              <w:rPr>
                <w:rFonts w:ascii="宋体" w:hAnsi="宋体" w:cs="宋体"/>
                <w:b/>
                <w:bCs/>
                <w:kern w:val="0"/>
                <w:sz w:val="18"/>
                <w:szCs w:val="18"/>
              </w:rPr>
              <w:t>4</w:t>
            </w:r>
          </w:p>
        </w:tc>
        <w:tc>
          <w:tcPr>
            <w:tcW w:w="25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高精导电裸铜线生产项目</w:t>
            </w:r>
          </w:p>
        </w:tc>
        <w:tc>
          <w:tcPr>
            <w:tcW w:w="18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招商引资</w:t>
            </w:r>
          </w:p>
        </w:tc>
        <w:tc>
          <w:tcPr>
            <w:tcW w:w="3947"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年产</w:t>
            </w:r>
            <w:r>
              <w:rPr>
                <w:rFonts w:ascii="宋体" w:hAnsi="宋体" w:cs="宋体"/>
                <w:kern w:val="0"/>
                <w:sz w:val="18"/>
                <w:szCs w:val="18"/>
              </w:rPr>
              <w:t>8</w:t>
            </w:r>
            <w:r>
              <w:rPr>
                <w:rFonts w:hint="eastAsia" w:ascii="宋体" w:hAnsi="宋体" w:cs="宋体"/>
                <w:kern w:val="0"/>
                <w:sz w:val="18"/>
                <w:szCs w:val="18"/>
              </w:rPr>
              <w:t>万吨高精导电裸铜线</w:t>
            </w:r>
          </w:p>
        </w:tc>
        <w:tc>
          <w:tcPr>
            <w:tcW w:w="1190"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20,000</w:t>
            </w:r>
          </w:p>
        </w:tc>
        <w:tc>
          <w:tcPr>
            <w:tcW w:w="1148"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400,000</w:t>
            </w:r>
          </w:p>
        </w:tc>
        <w:tc>
          <w:tcPr>
            <w:tcW w:w="1217"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输变电</w:t>
            </w:r>
          </w:p>
        </w:tc>
        <w:tc>
          <w:tcPr>
            <w:tcW w:w="1442"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上杭县工业园</w:t>
            </w:r>
          </w:p>
        </w:tc>
      </w:tr>
      <w:tr>
        <w:trPr>
          <w:trHeight w:val="450" w:hRule="atLeast"/>
        </w:trPr>
        <w:tc>
          <w:tcPr>
            <w:tcW w:w="560" w:type="dxa"/>
            <w:tcBorders>
              <w:top w:val="nil"/>
              <w:left w:val="single" w:color="auto" w:sz="4" w:space="0"/>
              <w:bottom w:val="single" w:color="auto" w:sz="4" w:space="0"/>
              <w:right w:val="single" w:color="auto" w:sz="4" w:space="0"/>
            </w:tcBorders>
            <w:shd w:val="clear" w:color="000000" w:fill="D9D9D9"/>
            <w:vAlign w:val="center"/>
          </w:tcPr>
          <w:p>
            <w:pPr>
              <w:widowControl/>
              <w:jc w:val="center"/>
              <w:rPr>
                <w:rFonts w:ascii="宋体" w:cs="Times New Roman"/>
                <w:b/>
                <w:bCs/>
                <w:kern w:val="0"/>
                <w:sz w:val="18"/>
                <w:szCs w:val="18"/>
              </w:rPr>
            </w:pPr>
            <w:r>
              <w:rPr>
                <w:rFonts w:ascii="宋体" w:hAnsi="宋体" w:cs="宋体"/>
                <w:b/>
                <w:bCs/>
                <w:kern w:val="0"/>
                <w:sz w:val="18"/>
                <w:szCs w:val="18"/>
              </w:rPr>
              <w:t>5</w:t>
            </w:r>
          </w:p>
        </w:tc>
        <w:tc>
          <w:tcPr>
            <w:tcW w:w="25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高性能光伏铜带生产项目</w:t>
            </w:r>
          </w:p>
        </w:tc>
        <w:tc>
          <w:tcPr>
            <w:tcW w:w="18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招商引资</w:t>
            </w:r>
          </w:p>
        </w:tc>
        <w:tc>
          <w:tcPr>
            <w:tcW w:w="3947"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年产</w:t>
            </w:r>
            <w:r>
              <w:rPr>
                <w:rFonts w:ascii="宋体" w:hAnsi="宋体" w:cs="宋体"/>
                <w:kern w:val="0"/>
                <w:sz w:val="18"/>
                <w:szCs w:val="18"/>
              </w:rPr>
              <w:t>1</w:t>
            </w:r>
            <w:r>
              <w:rPr>
                <w:rFonts w:hint="eastAsia" w:ascii="宋体" w:hAnsi="宋体" w:cs="宋体"/>
                <w:kern w:val="0"/>
                <w:sz w:val="18"/>
                <w:szCs w:val="18"/>
              </w:rPr>
              <w:t>万吨多种规格光伏焊带项目</w:t>
            </w:r>
          </w:p>
        </w:tc>
        <w:tc>
          <w:tcPr>
            <w:tcW w:w="1190"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110,000</w:t>
            </w:r>
          </w:p>
        </w:tc>
        <w:tc>
          <w:tcPr>
            <w:tcW w:w="1148"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130,000</w:t>
            </w:r>
          </w:p>
        </w:tc>
        <w:tc>
          <w:tcPr>
            <w:tcW w:w="1217"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输变电</w:t>
            </w:r>
          </w:p>
        </w:tc>
        <w:tc>
          <w:tcPr>
            <w:tcW w:w="1442"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上杭县工业园</w:t>
            </w:r>
          </w:p>
        </w:tc>
      </w:tr>
      <w:tr>
        <w:trPr>
          <w:trHeight w:val="270" w:hRule="atLeast"/>
        </w:trPr>
        <w:tc>
          <w:tcPr>
            <w:tcW w:w="560" w:type="dxa"/>
            <w:tcBorders>
              <w:top w:val="nil"/>
              <w:left w:val="single" w:color="auto" w:sz="4" w:space="0"/>
              <w:bottom w:val="single" w:color="auto" w:sz="4" w:space="0"/>
              <w:right w:val="single" w:color="auto" w:sz="4" w:space="0"/>
            </w:tcBorders>
            <w:shd w:val="clear" w:color="000000" w:fill="D9D9D9"/>
            <w:vAlign w:val="center"/>
          </w:tcPr>
          <w:p>
            <w:pPr>
              <w:widowControl/>
              <w:jc w:val="center"/>
              <w:rPr>
                <w:rFonts w:ascii="宋体" w:cs="Times New Roman"/>
                <w:b/>
                <w:bCs/>
                <w:kern w:val="0"/>
                <w:sz w:val="18"/>
                <w:szCs w:val="18"/>
              </w:rPr>
            </w:pPr>
            <w:r>
              <w:rPr>
                <w:rFonts w:ascii="宋体" w:hAnsi="宋体" w:cs="宋体"/>
                <w:b/>
                <w:bCs/>
                <w:kern w:val="0"/>
                <w:sz w:val="18"/>
                <w:szCs w:val="18"/>
              </w:rPr>
              <w:t>6</w:t>
            </w:r>
          </w:p>
        </w:tc>
        <w:tc>
          <w:tcPr>
            <w:tcW w:w="25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高精特种漆包线项目</w:t>
            </w:r>
          </w:p>
        </w:tc>
        <w:tc>
          <w:tcPr>
            <w:tcW w:w="18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上杭太阳铜业有限公司</w:t>
            </w:r>
          </w:p>
        </w:tc>
        <w:tc>
          <w:tcPr>
            <w:tcW w:w="3947"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年产</w:t>
            </w:r>
            <w:r>
              <w:rPr>
                <w:rFonts w:ascii="宋体" w:hAnsi="宋体" w:cs="宋体"/>
                <w:kern w:val="0"/>
                <w:sz w:val="18"/>
                <w:szCs w:val="18"/>
              </w:rPr>
              <w:t>2</w:t>
            </w:r>
            <w:r>
              <w:rPr>
                <w:rFonts w:hint="eastAsia" w:ascii="宋体" w:hAnsi="宋体" w:cs="宋体"/>
                <w:kern w:val="0"/>
                <w:sz w:val="18"/>
                <w:szCs w:val="18"/>
              </w:rPr>
              <w:t>万吨高精特种漆包线</w:t>
            </w:r>
          </w:p>
        </w:tc>
        <w:tc>
          <w:tcPr>
            <w:tcW w:w="1190"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20,000</w:t>
            </w:r>
          </w:p>
        </w:tc>
        <w:tc>
          <w:tcPr>
            <w:tcW w:w="1148"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132,000</w:t>
            </w:r>
          </w:p>
        </w:tc>
        <w:tc>
          <w:tcPr>
            <w:tcW w:w="1217"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输变电</w:t>
            </w:r>
          </w:p>
        </w:tc>
        <w:tc>
          <w:tcPr>
            <w:tcW w:w="1442"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上杭县工业园</w:t>
            </w:r>
          </w:p>
        </w:tc>
      </w:tr>
      <w:tr>
        <w:trPr>
          <w:trHeight w:val="450" w:hRule="atLeast"/>
        </w:trPr>
        <w:tc>
          <w:tcPr>
            <w:tcW w:w="560" w:type="dxa"/>
            <w:tcBorders>
              <w:top w:val="nil"/>
              <w:left w:val="single" w:color="auto" w:sz="4" w:space="0"/>
              <w:bottom w:val="single" w:color="auto" w:sz="4" w:space="0"/>
              <w:right w:val="single" w:color="auto" w:sz="4" w:space="0"/>
            </w:tcBorders>
            <w:shd w:val="clear" w:color="000000" w:fill="D9D9D9"/>
            <w:vAlign w:val="center"/>
          </w:tcPr>
          <w:p>
            <w:pPr>
              <w:widowControl/>
              <w:jc w:val="center"/>
              <w:rPr>
                <w:rFonts w:ascii="宋体" w:cs="Times New Roman"/>
                <w:b/>
                <w:bCs/>
                <w:kern w:val="0"/>
                <w:sz w:val="18"/>
                <w:szCs w:val="18"/>
              </w:rPr>
            </w:pPr>
            <w:r>
              <w:rPr>
                <w:rFonts w:ascii="宋体" w:hAnsi="宋体" w:cs="宋体"/>
                <w:b/>
                <w:bCs/>
                <w:kern w:val="0"/>
                <w:sz w:val="18"/>
                <w:szCs w:val="18"/>
              </w:rPr>
              <w:t>7</w:t>
            </w:r>
          </w:p>
        </w:tc>
        <w:tc>
          <w:tcPr>
            <w:tcW w:w="25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年产</w:t>
            </w:r>
            <w:r>
              <w:rPr>
                <w:rFonts w:ascii="宋体" w:hAnsi="宋体" w:cs="宋体"/>
                <w:kern w:val="0"/>
                <w:sz w:val="18"/>
                <w:szCs w:val="18"/>
              </w:rPr>
              <w:t>3</w:t>
            </w:r>
            <w:r>
              <w:rPr>
                <w:rFonts w:hint="eastAsia" w:ascii="宋体" w:hAnsi="宋体" w:cs="宋体"/>
                <w:kern w:val="0"/>
                <w:sz w:val="18"/>
                <w:szCs w:val="18"/>
              </w:rPr>
              <w:t>万吨无氧铜杆生产线项目</w:t>
            </w:r>
          </w:p>
        </w:tc>
        <w:tc>
          <w:tcPr>
            <w:tcW w:w="18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福建闽铜铜业有限公司</w:t>
            </w:r>
          </w:p>
        </w:tc>
        <w:tc>
          <w:tcPr>
            <w:tcW w:w="3947"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年产</w:t>
            </w:r>
            <w:r>
              <w:rPr>
                <w:rFonts w:ascii="宋体" w:hAnsi="宋体" w:cs="宋体"/>
                <w:kern w:val="0"/>
                <w:sz w:val="18"/>
                <w:szCs w:val="18"/>
              </w:rPr>
              <w:t>3</w:t>
            </w:r>
            <w:r>
              <w:rPr>
                <w:rFonts w:hint="eastAsia" w:ascii="宋体" w:hAnsi="宋体" w:cs="宋体"/>
                <w:kern w:val="0"/>
                <w:sz w:val="18"/>
                <w:szCs w:val="18"/>
              </w:rPr>
              <w:t>万吨无氧铜杆生产线项目</w:t>
            </w:r>
          </w:p>
        </w:tc>
        <w:tc>
          <w:tcPr>
            <w:tcW w:w="1190"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30,000</w:t>
            </w:r>
          </w:p>
        </w:tc>
        <w:tc>
          <w:tcPr>
            <w:tcW w:w="1148"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15,300</w:t>
            </w:r>
          </w:p>
        </w:tc>
        <w:tc>
          <w:tcPr>
            <w:tcW w:w="1217"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输变电</w:t>
            </w:r>
          </w:p>
        </w:tc>
        <w:tc>
          <w:tcPr>
            <w:tcW w:w="1442"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上杭县工业园</w:t>
            </w:r>
          </w:p>
        </w:tc>
      </w:tr>
      <w:tr>
        <w:trPr>
          <w:trHeight w:val="1141" w:hRule="atLeast"/>
        </w:trPr>
        <w:tc>
          <w:tcPr>
            <w:tcW w:w="560" w:type="dxa"/>
            <w:tcBorders>
              <w:top w:val="nil"/>
              <w:left w:val="single" w:color="auto" w:sz="4" w:space="0"/>
              <w:bottom w:val="single" w:color="auto" w:sz="4" w:space="0"/>
              <w:right w:val="single" w:color="auto" w:sz="4" w:space="0"/>
            </w:tcBorders>
            <w:shd w:val="clear" w:color="000000" w:fill="D9D9D9"/>
            <w:vAlign w:val="center"/>
          </w:tcPr>
          <w:p>
            <w:pPr>
              <w:widowControl/>
              <w:jc w:val="center"/>
              <w:rPr>
                <w:rFonts w:ascii="宋体" w:cs="Times New Roman"/>
                <w:b/>
                <w:bCs/>
                <w:kern w:val="0"/>
                <w:sz w:val="18"/>
                <w:szCs w:val="18"/>
              </w:rPr>
            </w:pPr>
            <w:r>
              <w:rPr>
                <w:rFonts w:ascii="宋体" w:hAnsi="宋体" w:cs="宋体"/>
                <w:b/>
                <w:bCs/>
                <w:kern w:val="0"/>
                <w:sz w:val="18"/>
                <w:szCs w:val="18"/>
              </w:rPr>
              <w:t>8</w:t>
            </w:r>
          </w:p>
        </w:tc>
        <w:tc>
          <w:tcPr>
            <w:tcW w:w="25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法拉斯韦新材料变压器生产项目</w:t>
            </w:r>
          </w:p>
        </w:tc>
        <w:tc>
          <w:tcPr>
            <w:tcW w:w="18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福建法拉斯韦电子有限公司</w:t>
            </w:r>
          </w:p>
        </w:tc>
        <w:tc>
          <w:tcPr>
            <w:tcW w:w="3947" w:type="dxa"/>
            <w:tcBorders>
              <w:top w:val="nil"/>
              <w:left w:val="nil"/>
              <w:bottom w:val="single" w:color="auto" w:sz="4" w:space="0"/>
              <w:right w:val="single" w:color="auto" w:sz="4" w:space="0"/>
            </w:tcBorders>
            <w:shd w:val="clear" w:color="000000" w:fill="FFFFFF"/>
            <w:vAlign w:val="center"/>
          </w:tcPr>
          <w:p>
            <w:pPr>
              <w:widowControl/>
              <w:spacing w:line="260" w:lineRule="exact"/>
              <w:jc w:val="left"/>
              <w:rPr>
                <w:rFonts w:ascii="宋体" w:cs="Times New Roman"/>
                <w:kern w:val="0"/>
                <w:sz w:val="18"/>
                <w:szCs w:val="18"/>
              </w:rPr>
            </w:pPr>
            <w:r>
              <w:rPr>
                <w:rFonts w:hint="eastAsia" w:ascii="宋体" w:hAnsi="宋体" w:cs="宋体"/>
                <w:kern w:val="0"/>
                <w:sz w:val="18"/>
                <w:szCs w:val="18"/>
              </w:rPr>
              <w:t>租赁厂房</w:t>
            </w:r>
            <w:r>
              <w:rPr>
                <w:rFonts w:ascii="宋体" w:hAnsi="宋体" w:cs="宋体"/>
                <w:kern w:val="0"/>
                <w:sz w:val="18"/>
                <w:szCs w:val="18"/>
              </w:rPr>
              <w:t>2800</w:t>
            </w:r>
            <w:r>
              <w:rPr>
                <w:rFonts w:hint="eastAsia" w:ascii="宋体" w:hAnsi="宋体" w:cs="宋体"/>
                <w:kern w:val="0"/>
                <w:sz w:val="18"/>
                <w:szCs w:val="18"/>
              </w:rPr>
              <w:t>平米，建设流水线生产线、仓库、实验室、研发中心等。购置绕线机、浸油机、测试机、</w:t>
            </w:r>
            <w:r>
              <w:rPr>
                <w:rFonts w:hint="eastAsia" w:ascii="Times New Roman" w:hAnsi="Times New Roman" w:cs="宋体"/>
                <w:kern w:val="0"/>
                <w:sz w:val="18"/>
                <w:szCs w:val="18"/>
              </w:rPr>
              <w:t>打包机</w:t>
            </w:r>
            <w:r>
              <w:rPr>
                <w:rFonts w:hint="eastAsia" w:ascii="宋体" w:hAnsi="宋体" w:cs="宋体"/>
                <w:kern w:val="0"/>
                <w:sz w:val="18"/>
                <w:szCs w:val="18"/>
              </w:rPr>
              <w:t>等自动化设备。年产新材料变压器</w:t>
            </w:r>
            <w:r>
              <w:rPr>
                <w:rFonts w:ascii="宋体" w:hAnsi="宋体" w:cs="宋体"/>
                <w:kern w:val="0"/>
                <w:sz w:val="18"/>
                <w:szCs w:val="18"/>
              </w:rPr>
              <w:t>5000</w:t>
            </w:r>
            <w:r>
              <w:rPr>
                <w:rFonts w:hint="eastAsia" w:ascii="宋体" w:hAnsi="宋体" w:cs="宋体"/>
                <w:kern w:val="0"/>
                <w:sz w:val="18"/>
                <w:szCs w:val="18"/>
              </w:rPr>
              <w:t>万颗</w:t>
            </w:r>
          </w:p>
        </w:tc>
        <w:tc>
          <w:tcPr>
            <w:tcW w:w="1190"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7,294</w:t>
            </w:r>
          </w:p>
        </w:tc>
        <w:tc>
          <w:tcPr>
            <w:tcW w:w="1148" w:type="dxa"/>
            <w:tcBorders>
              <w:top w:val="nil"/>
              <w:left w:val="nil"/>
              <w:bottom w:val="single" w:color="auto" w:sz="4" w:space="0"/>
              <w:right w:val="single" w:color="auto" w:sz="4" w:space="0"/>
            </w:tcBorders>
            <w:shd w:val="clear" w:color="000000" w:fill="FFFFFF"/>
            <w:vAlign w:val="center"/>
          </w:tcPr>
          <w:p>
            <w:pPr>
              <w:widowControl/>
              <w:jc w:val="left"/>
              <w:rPr>
                <w:rFonts w:ascii="Times New Roman" w:hAnsi="Times New Roman" w:cs="Times New Roman"/>
                <w:kern w:val="0"/>
                <w:sz w:val="20"/>
                <w:szCs w:val="20"/>
              </w:rPr>
            </w:pPr>
            <w:r>
              <w:rPr>
                <w:rFonts w:hint="eastAsia" w:ascii="Times New Roman" w:hAnsi="Times New Roman" w:cs="宋体"/>
                <w:kern w:val="0"/>
                <w:sz w:val="20"/>
                <w:szCs w:val="20"/>
              </w:rPr>
              <w:t>　</w:t>
            </w:r>
          </w:p>
        </w:tc>
        <w:tc>
          <w:tcPr>
            <w:tcW w:w="1217"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输变电</w:t>
            </w:r>
          </w:p>
        </w:tc>
        <w:tc>
          <w:tcPr>
            <w:tcW w:w="1442"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上杭县工业园</w:t>
            </w:r>
          </w:p>
        </w:tc>
      </w:tr>
      <w:tr>
        <w:trPr>
          <w:trHeight w:val="450" w:hRule="atLeast"/>
        </w:trPr>
        <w:tc>
          <w:tcPr>
            <w:tcW w:w="560" w:type="dxa"/>
            <w:tcBorders>
              <w:top w:val="nil"/>
              <w:left w:val="single" w:color="auto" w:sz="4" w:space="0"/>
              <w:bottom w:val="single" w:color="auto" w:sz="4" w:space="0"/>
              <w:right w:val="single" w:color="auto" w:sz="4" w:space="0"/>
            </w:tcBorders>
            <w:shd w:val="clear" w:color="000000" w:fill="D9D9D9"/>
            <w:vAlign w:val="center"/>
          </w:tcPr>
          <w:p>
            <w:pPr>
              <w:widowControl/>
              <w:jc w:val="center"/>
              <w:rPr>
                <w:rFonts w:ascii="宋体" w:cs="Times New Roman"/>
                <w:b/>
                <w:bCs/>
                <w:kern w:val="0"/>
                <w:sz w:val="18"/>
                <w:szCs w:val="18"/>
              </w:rPr>
            </w:pPr>
            <w:r>
              <w:rPr>
                <w:rFonts w:ascii="宋体" w:hAnsi="宋体" w:cs="宋体"/>
                <w:b/>
                <w:bCs/>
                <w:kern w:val="0"/>
                <w:sz w:val="18"/>
                <w:szCs w:val="18"/>
              </w:rPr>
              <w:t>9</w:t>
            </w:r>
          </w:p>
        </w:tc>
        <w:tc>
          <w:tcPr>
            <w:tcW w:w="25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直流换流变压器和电抗器项目</w:t>
            </w:r>
          </w:p>
        </w:tc>
        <w:tc>
          <w:tcPr>
            <w:tcW w:w="18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西电集团、特变电工</w:t>
            </w:r>
          </w:p>
        </w:tc>
        <w:tc>
          <w:tcPr>
            <w:tcW w:w="3947"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年产</w:t>
            </w:r>
            <w:r>
              <w:rPr>
                <w:rFonts w:ascii="宋体" w:hAnsi="宋体" w:cs="宋体"/>
                <w:kern w:val="0"/>
                <w:sz w:val="18"/>
                <w:szCs w:val="18"/>
              </w:rPr>
              <w:t>1500</w:t>
            </w:r>
            <w:r>
              <w:rPr>
                <w:rFonts w:hint="eastAsia" w:ascii="宋体" w:hAnsi="宋体" w:cs="宋体"/>
                <w:kern w:val="0"/>
                <w:sz w:val="18"/>
                <w:szCs w:val="18"/>
              </w:rPr>
              <w:t>台</w:t>
            </w:r>
            <w:r>
              <w:rPr>
                <w:rFonts w:ascii="宋体" w:hAnsi="宋体" w:cs="宋体"/>
                <w:kern w:val="0"/>
                <w:sz w:val="18"/>
                <w:szCs w:val="18"/>
              </w:rPr>
              <w:t>1100</w:t>
            </w:r>
            <w:r>
              <w:rPr>
                <w:rFonts w:hint="eastAsia" w:ascii="宋体" w:hAnsi="宋体" w:cs="宋体"/>
                <w:kern w:val="0"/>
                <w:sz w:val="18"/>
                <w:szCs w:val="18"/>
              </w:rPr>
              <w:t>千伏换流变压器和</w:t>
            </w:r>
            <w:r>
              <w:rPr>
                <w:rFonts w:ascii="宋体" w:hAnsi="宋体" w:cs="宋体"/>
                <w:kern w:val="0"/>
                <w:sz w:val="18"/>
                <w:szCs w:val="18"/>
              </w:rPr>
              <w:t>1000</w:t>
            </w:r>
            <w:r>
              <w:rPr>
                <w:rFonts w:hint="eastAsia" w:ascii="宋体" w:hAnsi="宋体" w:cs="宋体"/>
                <w:kern w:val="0"/>
                <w:sz w:val="18"/>
                <w:szCs w:val="18"/>
              </w:rPr>
              <w:t>千伏电抗器项目</w:t>
            </w:r>
          </w:p>
        </w:tc>
        <w:tc>
          <w:tcPr>
            <w:tcW w:w="1190"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100,000</w:t>
            </w:r>
          </w:p>
        </w:tc>
        <w:tc>
          <w:tcPr>
            <w:tcW w:w="1148"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450,000</w:t>
            </w:r>
          </w:p>
        </w:tc>
        <w:tc>
          <w:tcPr>
            <w:tcW w:w="1217"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输变电</w:t>
            </w:r>
          </w:p>
        </w:tc>
        <w:tc>
          <w:tcPr>
            <w:tcW w:w="1442"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上杭县工业园</w:t>
            </w:r>
          </w:p>
        </w:tc>
      </w:tr>
      <w:tr>
        <w:trPr>
          <w:trHeight w:val="450" w:hRule="atLeast"/>
        </w:trPr>
        <w:tc>
          <w:tcPr>
            <w:tcW w:w="560" w:type="dxa"/>
            <w:tcBorders>
              <w:top w:val="nil"/>
              <w:left w:val="single" w:color="auto" w:sz="4" w:space="0"/>
              <w:bottom w:val="single" w:color="auto" w:sz="4" w:space="0"/>
              <w:right w:val="single" w:color="auto" w:sz="4" w:space="0"/>
            </w:tcBorders>
            <w:shd w:val="clear" w:color="000000" w:fill="D9D9D9"/>
            <w:vAlign w:val="center"/>
          </w:tcPr>
          <w:p>
            <w:pPr>
              <w:widowControl/>
              <w:jc w:val="center"/>
              <w:rPr>
                <w:rFonts w:ascii="宋体" w:cs="Times New Roman"/>
                <w:b/>
                <w:bCs/>
                <w:kern w:val="0"/>
                <w:sz w:val="18"/>
                <w:szCs w:val="18"/>
              </w:rPr>
            </w:pPr>
            <w:r>
              <w:rPr>
                <w:rFonts w:ascii="宋体" w:hAnsi="宋体" w:cs="宋体"/>
                <w:b/>
                <w:bCs/>
                <w:kern w:val="0"/>
                <w:sz w:val="18"/>
                <w:szCs w:val="18"/>
              </w:rPr>
              <w:t>10</w:t>
            </w:r>
          </w:p>
        </w:tc>
        <w:tc>
          <w:tcPr>
            <w:tcW w:w="25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高精铜丝、镀锡铜线项目</w:t>
            </w:r>
          </w:p>
        </w:tc>
        <w:tc>
          <w:tcPr>
            <w:tcW w:w="18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精达股份、冠城大通</w:t>
            </w:r>
          </w:p>
        </w:tc>
        <w:tc>
          <w:tcPr>
            <w:tcW w:w="3947"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年产</w:t>
            </w:r>
            <w:r>
              <w:rPr>
                <w:rFonts w:ascii="宋体" w:hAnsi="宋体" w:cs="宋体"/>
                <w:kern w:val="0"/>
                <w:sz w:val="18"/>
                <w:szCs w:val="18"/>
              </w:rPr>
              <w:t>6000</w:t>
            </w:r>
            <w:r>
              <w:rPr>
                <w:rFonts w:hint="eastAsia" w:ascii="宋体" w:hAnsi="宋体" w:cs="宋体"/>
                <w:kern w:val="0"/>
                <w:sz w:val="18"/>
                <w:szCs w:val="18"/>
              </w:rPr>
              <w:t>吨铜丝、镀锡线项目</w:t>
            </w:r>
          </w:p>
        </w:tc>
        <w:tc>
          <w:tcPr>
            <w:tcW w:w="1190"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5,000</w:t>
            </w:r>
          </w:p>
        </w:tc>
        <w:tc>
          <w:tcPr>
            <w:tcW w:w="1148"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48,000</w:t>
            </w:r>
          </w:p>
        </w:tc>
        <w:tc>
          <w:tcPr>
            <w:tcW w:w="1217"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输变电</w:t>
            </w:r>
          </w:p>
        </w:tc>
        <w:tc>
          <w:tcPr>
            <w:tcW w:w="1442"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上杭县工业园</w:t>
            </w:r>
          </w:p>
        </w:tc>
      </w:tr>
      <w:tr>
        <w:trPr>
          <w:trHeight w:val="450" w:hRule="atLeast"/>
        </w:trPr>
        <w:tc>
          <w:tcPr>
            <w:tcW w:w="560" w:type="dxa"/>
            <w:tcBorders>
              <w:top w:val="nil"/>
              <w:left w:val="single" w:color="auto" w:sz="4" w:space="0"/>
              <w:bottom w:val="single" w:color="auto" w:sz="4" w:space="0"/>
              <w:right w:val="single" w:color="auto" w:sz="4" w:space="0"/>
            </w:tcBorders>
            <w:shd w:val="clear" w:color="000000" w:fill="D9D9D9"/>
            <w:vAlign w:val="center"/>
          </w:tcPr>
          <w:p>
            <w:pPr>
              <w:widowControl/>
              <w:jc w:val="center"/>
              <w:rPr>
                <w:rFonts w:ascii="宋体" w:cs="Times New Roman"/>
                <w:b/>
                <w:bCs/>
                <w:kern w:val="0"/>
                <w:sz w:val="18"/>
                <w:szCs w:val="18"/>
              </w:rPr>
            </w:pPr>
            <w:r>
              <w:rPr>
                <w:rFonts w:ascii="宋体" w:hAnsi="宋体" w:cs="宋体"/>
                <w:b/>
                <w:bCs/>
                <w:kern w:val="0"/>
                <w:sz w:val="18"/>
                <w:szCs w:val="18"/>
              </w:rPr>
              <w:t>11</w:t>
            </w:r>
          </w:p>
        </w:tc>
        <w:tc>
          <w:tcPr>
            <w:tcW w:w="25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接插式导电母线铜排项目</w:t>
            </w:r>
          </w:p>
        </w:tc>
        <w:tc>
          <w:tcPr>
            <w:tcW w:w="18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太阳铜业、许继电气</w:t>
            </w:r>
          </w:p>
        </w:tc>
        <w:tc>
          <w:tcPr>
            <w:tcW w:w="3947"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年产</w:t>
            </w:r>
            <w:r>
              <w:rPr>
                <w:rFonts w:ascii="宋体" w:hAnsi="宋体" w:cs="宋体"/>
                <w:kern w:val="0"/>
                <w:sz w:val="18"/>
                <w:szCs w:val="18"/>
              </w:rPr>
              <w:t>3</w:t>
            </w:r>
            <w:r>
              <w:rPr>
                <w:rFonts w:hint="eastAsia" w:ascii="宋体" w:hAnsi="宋体" w:cs="宋体"/>
                <w:kern w:val="0"/>
                <w:sz w:val="18"/>
                <w:szCs w:val="18"/>
              </w:rPr>
              <w:t>万吨接插式导电母线铜排生产线</w:t>
            </w:r>
          </w:p>
        </w:tc>
        <w:tc>
          <w:tcPr>
            <w:tcW w:w="1190"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15,000</w:t>
            </w:r>
          </w:p>
        </w:tc>
        <w:tc>
          <w:tcPr>
            <w:tcW w:w="1148"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175,500</w:t>
            </w:r>
          </w:p>
        </w:tc>
        <w:tc>
          <w:tcPr>
            <w:tcW w:w="1217"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输变电</w:t>
            </w:r>
          </w:p>
        </w:tc>
        <w:tc>
          <w:tcPr>
            <w:tcW w:w="1442"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上杭县工业园</w:t>
            </w:r>
          </w:p>
        </w:tc>
      </w:tr>
      <w:tr>
        <w:trPr>
          <w:trHeight w:val="270" w:hRule="atLeast"/>
        </w:trPr>
        <w:tc>
          <w:tcPr>
            <w:tcW w:w="560" w:type="dxa"/>
            <w:tcBorders>
              <w:top w:val="nil"/>
              <w:left w:val="single" w:color="auto" w:sz="4" w:space="0"/>
              <w:bottom w:val="single" w:color="auto" w:sz="4" w:space="0"/>
              <w:right w:val="single" w:color="auto" w:sz="4" w:space="0"/>
            </w:tcBorders>
            <w:shd w:val="clear" w:color="000000" w:fill="D9D9D9"/>
            <w:vAlign w:val="center"/>
          </w:tcPr>
          <w:p>
            <w:pPr>
              <w:widowControl/>
              <w:jc w:val="center"/>
              <w:rPr>
                <w:rFonts w:ascii="宋体" w:cs="Times New Roman"/>
                <w:b/>
                <w:bCs/>
                <w:kern w:val="0"/>
                <w:sz w:val="18"/>
                <w:szCs w:val="18"/>
              </w:rPr>
            </w:pPr>
            <w:r>
              <w:rPr>
                <w:rFonts w:ascii="宋体" w:hAnsi="宋体" w:cs="宋体"/>
                <w:b/>
                <w:bCs/>
                <w:kern w:val="0"/>
                <w:sz w:val="18"/>
                <w:szCs w:val="18"/>
              </w:rPr>
              <w:t>12</w:t>
            </w:r>
          </w:p>
        </w:tc>
        <w:tc>
          <w:tcPr>
            <w:tcW w:w="25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高强高导铜合金</w:t>
            </w:r>
          </w:p>
        </w:tc>
        <w:tc>
          <w:tcPr>
            <w:tcW w:w="18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博威集团</w:t>
            </w:r>
          </w:p>
        </w:tc>
        <w:tc>
          <w:tcPr>
            <w:tcW w:w="3947"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年产</w:t>
            </w:r>
            <w:r>
              <w:rPr>
                <w:rFonts w:ascii="宋体" w:hAnsi="宋体" w:cs="宋体"/>
                <w:kern w:val="0"/>
                <w:sz w:val="18"/>
                <w:szCs w:val="18"/>
              </w:rPr>
              <w:t>2</w:t>
            </w:r>
            <w:r>
              <w:rPr>
                <w:rFonts w:hint="eastAsia" w:ascii="宋体" w:hAnsi="宋体" w:cs="宋体"/>
                <w:kern w:val="0"/>
                <w:sz w:val="18"/>
                <w:szCs w:val="18"/>
              </w:rPr>
              <w:t>万吨高强高导铜合金材料</w:t>
            </w:r>
          </w:p>
        </w:tc>
        <w:tc>
          <w:tcPr>
            <w:tcW w:w="1190"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20,000</w:t>
            </w:r>
          </w:p>
        </w:tc>
        <w:tc>
          <w:tcPr>
            <w:tcW w:w="1148"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140,000</w:t>
            </w:r>
          </w:p>
        </w:tc>
        <w:tc>
          <w:tcPr>
            <w:tcW w:w="1217"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输变电</w:t>
            </w:r>
          </w:p>
        </w:tc>
        <w:tc>
          <w:tcPr>
            <w:tcW w:w="1442"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上杭县工业园</w:t>
            </w:r>
          </w:p>
        </w:tc>
      </w:tr>
      <w:tr>
        <w:trPr>
          <w:trHeight w:val="450" w:hRule="atLeast"/>
        </w:trPr>
        <w:tc>
          <w:tcPr>
            <w:tcW w:w="560" w:type="dxa"/>
            <w:tcBorders>
              <w:top w:val="nil"/>
              <w:left w:val="single" w:color="auto" w:sz="4" w:space="0"/>
              <w:bottom w:val="single" w:color="auto" w:sz="4" w:space="0"/>
              <w:right w:val="single" w:color="auto" w:sz="4" w:space="0"/>
            </w:tcBorders>
            <w:shd w:val="clear" w:color="000000" w:fill="D9D9D9"/>
            <w:vAlign w:val="center"/>
          </w:tcPr>
          <w:p>
            <w:pPr>
              <w:widowControl/>
              <w:jc w:val="center"/>
              <w:rPr>
                <w:rFonts w:ascii="宋体" w:cs="Times New Roman"/>
                <w:b/>
                <w:bCs/>
                <w:kern w:val="0"/>
                <w:sz w:val="18"/>
                <w:szCs w:val="18"/>
              </w:rPr>
            </w:pPr>
            <w:r>
              <w:rPr>
                <w:rFonts w:ascii="宋体" w:hAnsi="宋体" w:cs="宋体"/>
                <w:b/>
                <w:bCs/>
                <w:kern w:val="0"/>
                <w:sz w:val="18"/>
                <w:szCs w:val="18"/>
              </w:rPr>
              <w:t>13</w:t>
            </w:r>
          </w:p>
        </w:tc>
        <w:tc>
          <w:tcPr>
            <w:tcW w:w="25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高强耐磨黄铜复杂合金</w:t>
            </w:r>
          </w:p>
        </w:tc>
        <w:tc>
          <w:tcPr>
            <w:tcW w:w="18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中铝洛铜</w:t>
            </w:r>
          </w:p>
        </w:tc>
        <w:tc>
          <w:tcPr>
            <w:tcW w:w="3947"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年产</w:t>
            </w:r>
            <w:r>
              <w:rPr>
                <w:rFonts w:ascii="宋体" w:hAnsi="宋体" w:cs="宋体"/>
                <w:kern w:val="0"/>
                <w:sz w:val="18"/>
                <w:szCs w:val="18"/>
              </w:rPr>
              <w:t>5</w:t>
            </w:r>
            <w:r>
              <w:rPr>
                <w:rFonts w:hint="eastAsia" w:ascii="宋体" w:hAnsi="宋体" w:cs="宋体"/>
                <w:kern w:val="0"/>
                <w:sz w:val="18"/>
                <w:szCs w:val="18"/>
              </w:rPr>
              <w:t>千吨高强耐磨黄铜复杂合金</w:t>
            </w:r>
          </w:p>
        </w:tc>
        <w:tc>
          <w:tcPr>
            <w:tcW w:w="1190"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20,000</w:t>
            </w:r>
          </w:p>
        </w:tc>
        <w:tc>
          <w:tcPr>
            <w:tcW w:w="1148"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60,000</w:t>
            </w:r>
          </w:p>
        </w:tc>
        <w:tc>
          <w:tcPr>
            <w:tcW w:w="1217"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输变电</w:t>
            </w:r>
          </w:p>
        </w:tc>
        <w:tc>
          <w:tcPr>
            <w:tcW w:w="1442"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上杭县工业园</w:t>
            </w:r>
          </w:p>
        </w:tc>
      </w:tr>
      <w:tr>
        <w:trPr>
          <w:trHeight w:val="450" w:hRule="atLeast"/>
        </w:trPr>
        <w:tc>
          <w:tcPr>
            <w:tcW w:w="560" w:type="dxa"/>
            <w:tcBorders>
              <w:top w:val="nil"/>
              <w:left w:val="single" w:color="auto" w:sz="4" w:space="0"/>
              <w:bottom w:val="single" w:color="auto" w:sz="4" w:space="0"/>
              <w:right w:val="single" w:color="auto" w:sz="4" w:space="0"/>
            </w:tcBorders>
            <w:shd w:val="clear" w:color="000000" w:fill="D9D9D9"/>
            <w:vAlign w:val="center"/>
          </w:tcPr>
          <w:p>
            <w:pPr>
              <w:widowControl/>
              <w:jc w:val="center"/>
              <w:rPr>
                <w:rFonts w:ascii="宋体" w:cs="Times New Roman"/>
                <w:b/>
                <w:bCs/>
                <w:kern w:val="0"/>
                <w:sz w:val="18"/>
                <w:szCs w:val="18"/>
              </w:rPr>
            </w:pPr>
            <w:r>
              <w:rPr>
                <w:rFonts w:ascii="宋体" w:hAnsi="宋体" w:cs="宋体"/>
                <w:b/>
                <w:bCs/>
                <w:kern w:val="0"/>
                <w:sz w:val="18"/>
                <w:szCs w:val="18"/>
              </w:rPr>
              <w:t>14</w:t>
            </w:r>
          </w:p>
        </w:tc>
        <w:tc>
          <w:tcPr>
            <w:tcW w:w="25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高压、超高压交联电缆领域</w:t>
            </w:r>
          </w:p>
        </w:tc>
        <w:tc>
          <w:tcPr>
            <w:tcW w:w="18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汉缆股份</w:t>
            </w:r>
          </w:p>
        </w:tc>
        <w:tc>
          <w:tcPr>
            <w:tcW w:w="3947"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年产</w:t>
            </w:r>
            <w:r>
              <w:rPr>
                <w:rFonts w:ascii="宋体" w:hAnsi="宋体" w:cs="宋体"/>
                <w:kern w:val="0"/>
                <w:sz w:val="18"/>
                <w:szCs w:val="18"/>
              </w:rPr>
              <w:t>700</w:t>
            </w:r>
            <w:r>
              <w:rPr>
                <w:rFonts w:hint="eastAsia" w:ascii="宋体" w:hAnsi="宋体" w:cs="宋体"/>
                <w:kern w:val="0"/>
                <w:sz w:val="18"/>
                <w:szCs w:val="18"/>
              </w:rPr>
              <w:t>公里高压、超高压交联电缆领域</w:t>
            </w:r>
          </w:p>
        </w:tc>
        <w:tc>
          <w:tcPr>
            <w:tcW w:w="1190"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12,000</w:t>
            </w:r>
          </w:p>
        </w:tc>
        <w:tc>
          <w:tcPr>
            <w:tcW w:w="1148"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55,000</w:t>
            </w:r>
          </w:p>
        </w:tc>
        <w:tc>
          <w:tcPr>
            <w:tcW w:w="1217"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输变电</w:t>
            </w:r>
          </w:p>
        </w:tc>
        <w:tc>
          <w:tcPr>
            <w:tcW w:w="1442"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上杭县工业园</w:t>
            </w:r>
          </w:p>
        </w:tc>
      </w:tr>
      <w:tr>
        <w:trPr>
          <w:trHeight w:val="270" w:hRule="atLeast"/>
        </w:trPr>
        <w:tc>
          <w:tcPr>
            <w:tcW w:w="560" w:type="dxa"/>
            <w:tcBorders>
              <w:top w:val="nil"/>
              <w:left w:val="single" w:color="auto" w:sz="4" w:space="0"/>
              <w:bottom w:val="single" w:color="auto" w:sz="4" w:space="0"/>
              <w:right w:val="single" w:color="auto" w:sz="4" w:space="0"/>
            </w:tcBorders>
            <w:shd w:val="clear" w:color="000000" w:fill="D9D9D9"/>
            <w:vAlign w:val="center"/>
          </w:tcPr>
          <w:p>
            <w:pPr>
              <w:widowControl/>
              <w:jc w:val="center"/>
              <w:rPr>
                <w:rFonts w:ascii="宋体" w:cs="Times New Roman"/>
                <w:b/>
                <w:bCs/>
                <w:kern w:val="0"/>
                <w:sz w:val="18"/>
                <w:szCs w:val="18"/>
              </w:rPr>
            </w:pPr>
            <w:r>
              <w:rPr>
                <w:rFonts w:ascii="宋体" w:hAnsi="宋体" w:cs="宋体"/>
                <w:b/>
                <w:bCs/>
                <w:kern w:val="0"/>
                <w:sz w:val="18"/>
                <w:szCs w:val="18"/>
              </w:rPr>
              <w:t>15</w:t>
            </w:r>
          </w:p>
        </w:tc>
        <w:tc>
          <w:tcPr>
            <w:tcW w:w="25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阻燃电力电缆</w:t>
            </w:r>
          </w:p>
        </w:tc>
        <w:tc>
          <w:tcPr>
            <w:tcW w:w="18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上上电缆</w:t>
            </w:r>
            <w:r>
              <w:rPr>
                <w:rFonts w:ascii="宋体" w:hAnsi="宋体" w:cs="宋体"/>
                <w:kern w:val="0"/>
                <w:sz w:val="18"/>
                <w:szCs w:val="18"/>
              </w:rPr>
              <w:t>/</w:t>
            </w:r>
            <w:r>
              <w:rPr>
                <w:rFonts w:hint="eastAsia" w:ascii="宋体" w:hAnsi="宋体" w:cs="宋体"/>
                <w:kern w:val="0"/>
                <w:sz w:val="18"/>
                <w:szCs w:val="18"/>
              </w:rPr>
              <w:t>太阳电缆</w:t>
            </w:r>
          </w:p>
        </w:tc>
        <w:tc>
          <w:tcPr>
            <w:tcW w:w="3947"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年产</w:t>
            </w:r>
            <w:r>
              <w:rPr>
                <w:rFonts w:ascii="宋体" w:hAnsi="宋体" w:cs="宋体"/>
                <w:kern w:val="0"/>
                <w:sz w:val="18"/>
                <w:szCs w:val="18"/>
              </w:rPr>
              <w:t>500</w:t>
            </w:r>
            <w:r>
              <w:rPr>
                <w:rFonts w:hint="eastAsia" w:ascii="宋体" w:hAnsi="宋体" w:cs="宋体"/>
                <w:kern w:val="0"/>
                <w:sz w:val="18"/>
                <w:szCs w:val="18"/>
              </w:rPr>
              <w:t>公里高压、超高压交联电缆领域</w:t>
            </w:r>
          </w:p>
        </w:tc>
        <w:tc>
          <w:tcPr>
            <w:tcW w:w="1190"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15,000</w:t>
            </w:r>
          </w:p>
        </w:tc>
        <w:tc>
          <w:tcPr>
            <w:tcW w:w="1148"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70,000</w:t>
            </w:r>
          </w:p>
        </w:tc>
        <w:tc>
          <w:tcPr>
            <w:tcW w:w="1217"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输变电</w:t>
            </w:r>
          </w:p>
        </w:tc>
        <w:tc>
          <w:tcPr>
            <w:tcW w:w="1442"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上杭县工业园</w:t>
            </w:r>
          </w:p>
        </w:tc>
      </w:tr>
      <w:tr>
        <w:trPr>
          <w:trHeight w:val="270" w:hRule="atLeast"/>
        </w:trPr>
        <w:tc>
          <w:tcPr>
            <w:tcW w:w="560" w:type="dxa"/>
            <w:tcBorders>
              <w:top w:val="nil"/>
              <w:left w:val="single" w:color="auto" w:sz="4" w:space="0"/>
              <w:bottom w:val="single" w:color="auto" w:sz="4" w:space="0"/>
              <w:right w:val="single" w:color="auto" w:sz="4" w:space="0"/>
            </w:tcBorders>
            <w:shd w:val="clear" w:color="000000" w:fill="D9D9D9"/>
            <w:vAlign w:val="center"/>
          </w:tcPr>
          <w:p>
            <w:pPr>
              <w:widowControl/>
              <w:jc w:val="center"/>
              <w:rPr>
                <w:rFonts w:ascii="宋体" w:cs="Times New Roman"/>
                <w:b/>
                <w:bCs/>
                <w:kern w:val="0"/>
                <w:sz w:val="18"/>
                <w:szCs w:val="18"/>
              </w:rPr>
            </w:pPr>
            <w:r>
              <w:rPr>
                <w:rFonts w:ascii="宋体" w:hAnsi="宋体" w:cs="宋体"/>
                <w:b/>
                <w:bCs/>
                <w:kern w:val="0"/>
                <w:sz w:val="18"/>
                <w:szCs w:val="18"/>
              </w:rPr>
              <w:t>16</w:t>
            </w:r>
          </w:p>
        </w:tc>
        <w:tc>
          <w:tcPr>
            <w:tcW w:w="25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纤维绕包线</w:t>
            </w:r>
          </w:p>
        </w:tc>
        <w:tc>
          <w:tcPr>
            <w:tcW w:w="18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精达股份、冠城大通</w:t>
            </w:r>
          </w:p>
        </w:tc>
        <w:tc>
          <w:tcPr>
            <w:tcW w:w="3947"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年产</w:t>
            </w:r>
            <w:r>
              <w:rPr>
                <w:rFonts w:ascii="宋体" w:hAnsi="宋体" w:cs="宋体"/>
                <w:kern w:val="0"/>
                <w:sz w:val="18"/>
                <w:szCs w:val="18"/>
              </w:rPr>
              <w:t>1000</w:t>
            </w:r>
            <w:r>
              <w:rPr>
                <w:rFonts w:hint="eastAsia" w:ascii="宋体" w:hAnsi="宋体" w:cs="宋体"/>
                <w:kern w:val="0"/>
                <w:sz w:val="18"/>
                <w:szCs w:val="18"/>
              </w:rPr>
              <w:t>公里纤维绕包线</w:t>
            </w:r>
          </w:p>
        </w:tc>
        <w:tc>
          <w:tcPr>
            <w:tcW w:w="1190"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2,000</w:t>
            </w:r>
          </w:p>
        </w:tc>
        <w:tc>
          <w:tcPr>
            <w:tcW w:w="1148"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45,000</w:t>
            </w:r>
          </w:p>
        </w:tc>
        <w:tc>
          <w:tcPr>
            <w:tcW w:w="1217"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输变电</w:t>
            </w:r>
          </w:p>
        </w:tc>
        <w:tc>
          <w:tcPr>
            <w:tcW w:w="1442"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上杭县工业园</w:t>
            </w:r>
          </w:p>
        </w:tc>
      </w:tr>
      <w:tr>
        <w:trPr>
          <w:trHeight w:val="270" w:hRule="atLeast"/>
        </w:trPr>
        <w:tc>
          <w:tcPr>
            <w:tcW w:w="560" w:type="dxa"/>
            <w:tcBorders>
              <w:top w:val="nil"/>
              <w:left w:val="single" w:color="auto" w:sz="4" w:space="0"/>
              <w:bottom w:val="single" w:color="auto" w:sz="4" w:space="0"/>
              <w:right w:val="single" w:color="auto" w:sz="4" w:space="0"/>
            </w:tcBorders>
            <w:shd w:val="clear" w:color="000000" w:fill="D9D9D9"/>
            <w:vAlign w:val="center"/>
          </w:tcPr>
          <w:p>
            <w:pPr>
              <w:widowControl/>
              <w:jc w:val="center"/>
              <w:rPr>
                <w:rFonts w:ascii="宋体" w:cs="Times New Roman"/>
                <w:b/>
                <w:bCs/>
                <w:kern w:val="0"/>
                <w:sz w:val="18"/>
                <w:szCs w:val="18"/>
              </w:rPr>
            </w:pPr>
            <w:r>
              <w:rPr>
                <w:rFonts w:ascii="宋体" w:hAnsi="宋体" w:cs="宋体"/>
                <w:b/>
                <w:bCs/>
                <w:kern w:val="0"/>
                <w:sz w:val="18"/>
                <w:szCs w:val="18"/>
              </w:rPr>
              <w:t>17</w:t>
            </w:r>
          </w:p>
        </w:tc>
        <w:tc>
          <w:tcPr>
            <w:tcW w:w="25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高精特种漆包线项目</w:t>
            </w:r>
          </w:p>
        </w:tc>
        <w:tc>
          <w:tcPr>
            <w:tcW w:w="18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上杭太阳铜业有限公司</w:t>
            </w:r>
          </w:p>
        </w:tc>
        <w:tc>
          <w:tcPr>
            <w:tcW w:w="3947"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年产</w:t>
            </w:r>
            <w:r>
              <w:rPr>
                <w:rFonts w:ascii="宋体" w:hAnsi="宋体" w:cs="宋体"/>
                <w:kern w:val="0"/>
                <w:sz w:val="18"/>
                <w:szCs w:val="18"/>
              </w:rPr>
              <w:t>2</w:t>
            </w:r>
            <w:r>
              <w:rPr>
                <w:rFonts w:hint="eastAsia" w:ascii="宋体" w:hAnsi="宋体" w:cs="宋体"/>
                <w:kern w:val="0"/>
                <w:sz w:val="18"/>
                <w:szCs w:val="18"/>
              </w:rPr>
              <w:t>万吨高精特种漆包线</w:t>
            </w:r>
          </w:p>
        </w:tc>
        <w:tc>
          <w:tcPr>
            <w:tcW w:w="1190"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20,000</w:t>
            </w:r>
          </w:p>
        </w:tc>
        <w:tc>
          <w:tcPr>
            <w:tcW w:w="1148"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132,000</w:t>
            </w:r>
          </w:p>
        </w:tc>
        <w:tc>
          <w:tcPr>
            <w:tcW w:w="1217"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输变电</w:t>
            </w:r>
          </w:p>
        </w:tc>
        <w:tc>
          <w:tcPr>
            <w:tcW w:w="1442"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上杭县工业园</w:t>
            </w:r>
          </w:p>
        </w:tc>
      </w:tr>
      <w:tr>
        <w:trPr>
          <w:trHeight w:val="450" w:hRule="atLeast"/>
        </w:trPr>
        <w:tc>
          <w:tcPr>
            <w:tcW w:w="560" w:type="dxa"/>
            <w:tcBorders>
              <w:top w:val="nil"/>
              <w:left w:val="single" w:color="auto" w:sz="4" w:space="0"/>
              <w:bottom w:val="single" w:color="auto" w:sz="4" w:space="0"/>
              <w:right w:val="single" w:color="auto" w:sz="4" w:space="0"/>
            </w:tcBorders>
            <w:shd w:val="clear" w:color="000000" w:fill="D9D9D9"/>
            <w:vAlign w:val="center"/>
          </w:tcPr>
          <w:p>
            <w:pPr>
              <w:widowControl/>
              <w:jc w:val="center"/>
              <w:rPr>
                <w:rFonts w:ascii="宋体" w:cs="Times New Roman"/>
                <w:b/>
                <w:bCs/>
                <w:kern w:val="0"/>
                <w:sz w:val="18"/>
                <w:szCs w:val="18"/>
              </w:rPr>
            </w:pPr>
            <w:r>
              <w:rPr>
                <w:rFonts w:ascii="宋体" w:hAnsi="宋体" w:cs="宋体"/>
                <w:b/>
                <w:bCs/>
                <w:kern w:val="0"/>
                <w:sz w:val="18"/>
                <w:szCs w:val="18"/>
              </w:rPr>
              <w:t>18</w:t>
            </w:r>
          </w:p>
        </w:tc>
        <w:tc>
          <w:tcPr>
            <w:tcW w:w="2562" w:type="dxa"/>
            <w:tcBorders>
              <w:top w:val="nil"/>
              <w:left w:val="nil"/>
              <w:bottom w:val="single" w:color="auto" w:sz="4" w:space="0"/>
              <w:right w:val="single" w:color="auto" w:sz="4" w:space="0"/>
            </w:tcBorders>
            <w:shd w:val="clear" w:color="000000" w:fill="FFFFFF"/>
            <w:vAlign w:val="center"/>
          </w:tcPr>
          <w:p>
            <w:pPr>
              <w:widowControl/>
              <w:spacing w:line="260" w:lineRule="exact"/>
              <w:jc w:val="left"/>
              <w:rPr>
                <w:rFonts w:ascii="宋体" w:cs="Times New Roman"/>
                <w:kern w:val="0"/>
                <w:sz w:val="18"/>
                <w:szCs w:val="18"/>
              </w:rPr>
            </w:pPr>
            <w:r>
              <w:rPr>
                <w:rFonts w:hint="eastAsia" w:ascii="宋体" w:hAnsi="宋体" w:cs="宋体"/>
                <w:kern w:val="0"/>
                <w:sz w:val="18"/>
                <w:szCs w:val="18"/>
              </w:rPr>
              <w:t>超细微铜丝（或超细微漆包线）生产项目</w:t>
            </w:r>
          </w:p>
        </w:tc>
        <w:tc>
          <w:tcPr>
            <w:tcW w:w="1862" w:type="dxa"/>
            <w:tcBorders>
              <w:top w:val="nil"/>
              <w:left w:val="nil"/>
              <w:bottom w:val="single" w:color="auto" w:sz="4" w:space="0"/>
              <w:right w:val="single" w:color="auto" w:sz="4" w:space="0"/>
            </w:tcBorders>
            <w:shd w:val="clear" w:color="000000" w:fill="FFFFFF"/>
            <w:vAlign w:val="center"/>
          </w:tcPr>
          <w:p>
            <w:pPr>
              <w:widowControl/>
              <w:spacing w:line="260" w:lineRule="exact"/>
              <w:jc w:val="left"/>
              <w:rPr>
                <w:rFonts w:ascii="宋体" w:cs="Times New Roman"/>
                <w:kern w:val="0"/>
                <w:sz w:val="18"/>
                <w:szCs w:val="18"/>
              </w:rPr>
            </w:pPr>
            <w:r>
              <w:rPr>
                <w:rFonts w:hint="eastAsia" w:ascii="宋体" w:hAnsi="宋体" w:cs="宋体"/>
                <w:kern w:val="0"/>
                <w:sz w:val="18"/>
                <w:szCs w:val="18"/>
              </w:rPr>
              <w:t>福建晶辉新材料科技有限公司</w:t>
            </w:r>
          </w:p>
        </w:tc>
        <w:tc>
          <w:tcPr>
            <w:tcW w:w="3947"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年产</w:t>
            </w:r>
            <w:r>
              <w:rPr>
                <w:rFonts w:ascii="宋体" w:hAnsi="宋体" w:cs="宋体"/>
                <w:kern w:val="0"/>
                <w:sz w:val="18"/>
                <w:szCs w:val="18"/>
              </w:rPr>
              <w:t>3</w:t>
            </w:r>
            <w:r>
              <w:rPr>
                <w:rFonts w:hint="eastAsia" w:ascii="宋体" w:hAnsi="宋体" w:cs="宋体"/>
                <w:kern w:val="0"/>
                <w:sz w:val="18"/>
                <w:szCs w:val="18"/>
              </w:rPr>
              <w:t>万吨超细微铜导体生产项目</w:t>
            </w:r>
          </w:p>
        </w:tc>
        <w:tc>
          <w:tcPr>
            <w:tcW w:w="1190"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60,000</w:t>
            </w:r>
          </w:p>
        </w:tc>
        <w:tc>
          <w:tcPr>
            <w:tcW w:w="1148"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175,000</w:t>
            </w:r>
          </w:p>
        </w:tc>
        <w:tc>
          <w:tcPr>
            <w:tcW w:w="1217"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输变电</w:t>
            </w:r>
          </w:p>
        </w:tc>
        <w:tc>
          <w:tcPr>
            <w:tcW w:w="1442"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上杭县工业园</w:t>
            </w:r>
          </w:p>
        </w:tc>
      </w:tr>
      <w:tr>
        <w:trPr>
          <w:trHeight w:val="450" w:hRule="atLeast"/>
        </w:trPr>
        <w:tc>
          <w:tcPr>
            <w:tcW w:w="560" w:type="dxa"/>
            <w:tcBorders>
              <w:top w:val="nil"/>
              <w:left w:val="single" w:color="auto" w:sz="4" w:space="0"/>
              <w:bottom w:val="single" w:color="auto" w:sz="4" w:space="0"/>
              <w:right w:val="single" w:color="auto" w:sz="4" w:space="0"/>
            </w:tcBorders>
            <w:shd w:val="clear" w:color="000000" w:fill="D9D9D9"/>
            <w:vAlign w:val="center"/>
          </w:tcPr>
          <w:p>
            <w:pPr>
              <w:widowControl/>
              <w:jc w:val="center"/>
              <w:rPr>
                <w:rFonts w:ascii="宋体" w:cs="Times New Roman"/>
                <w:b/>
                <w:bCs/>
                <w:kern w:val="0"/>
                <w:sz w:val="18"/>
                <w:szCs w:val="18"/>
              </w:rPr>
            </w:pPr>
            <w:r>
              <w:rPr>
                <w:rFonts w:ascii="宋体" w:hAnsi="宋体" w:cs="宋体"/>
                <w:b/>
                <w:bCs/>
                <w:kern w:val="0"/>
                <w:sz w:val="18"/>
                <w:szCs w:val="18"/>
              </w:rPr>
              <w:t>19</w:t>
            </w:r>
          </w:p>
        </w:tc>
        <w:tc>
          <w:tcPr>
            <w:tcW w:w="25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风电核电船用电缆生产项目</w:t>
            </w:r>
          </w:p>
        </w:tc>
        <w:tc>
          <w:tcPr>
            <w:tcW w:w="18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太阳电缆、亨通股份</w:t>
            </w:r>
          </w:p>
        </w:tc>
        <w:tc>
          <w:tcPr>
            <w:tcW w:w="3947"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年产</w:t>
            </w:r>
            <w:r>
              <w:rPr>
                <w:rFonts w:ascii="宋体" w:hAnsi="宋体" w:cs="宋体"/>
                <w:kern w:val="0"/>
                <w:sz w:val="18"/>
                <w:szCs w:val="18"/>
              </w:rPr>
              <w:t>3000</w:t>
            </w:r>
            <w:r>
              <w:rPr>
                <w:rFonts w:hint="eastAsia" w:ascii="宋体" w:hAnsi="宋体" w:cs="宋体"/>
                <w:kern w:val="0"/>
                <w:sz w:val="18"/>
                <w:szCs w:val="18"/>
              </w:rPr>
              <w:t>公里风电核电船用电缆项目</w:t>
            </w:r>
          </w:p>
        </w:tc>
        <w:tc>
          <w:tcPr>
            <w:tcW w:w="1190"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30,000</w:t>
            </w:r>
          </w:p>
        </w:tc>
        <w:tc>
          <w:tcPr>
            <w:tcW w:w="1148"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250,000</w:t>
            </w:r>
          </w:p>
        </w:tc>
        <w:tc>
          <w:tcPr>
            <w:tcW w:w="1217"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输变电</w:t>
            </w:r>
          </w:p>
        </w:tc>
        <w:tc>
          <w:tcPr>
            <w:tcW w:w="1442"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上杭县工业园</w:t>
            </w:r>
          </w:p>
        </w:tc>
      </w:tr>
      <w:tr>
        <w:trPr>
          <w:trHeight w:val="531" w:hRule="atLeast"/>
        </w:trPr>
        <w:tc>
          <w:tcPr>
            <w:tcW w:w="560" w:type="dxa"/>
            <w:tcBorders>
              <w:top w:val="nil"/>
              <w:left w:val="single" w:color="auto" w:sz="4" w:space="0"/>
              <w:bottom w:val="single" w:color="auto" w:sz="4" w:space="0"/>
              <w:right w:val="single" w:color="auto" w:sz="4" w:space="0"/>
            </w:tcBorders>
            <w:shd w:val="clear" w:color="000000" w:fill="D9D9D9"/>
            <w:vAlign w:val="center"/>
          </w:tcPr>
          <w:p>
            <w:pPr>
              <w:widowControl/>
              <w:jc w:val="center"/>
              <w:rPr>
                <w:rFonts w:ascii="宋体" w:cs="Times New Roman"/>
                <w:b/>
                <w:bCs/>
                <w:kern w:val="0"/>
                <w:sz w:val="18"/>
                <w:szCs w:val="18"/>
              </w:rPr>
            </w:pPr>
            <w:r>
              <w:rPr>
                <w:rFonts w:ascii="宋体" w:hAnsi="宋体" w:cs="宋体"/>
                <w:b/>
                <w:bCs/>
                <w:kern w:val="0"/>
                <w:sz w:val="18"/>
                <w:szCs w:val="18"/>
              </w:rPr>
              <w:t>20</w:t>
            </w:r>
          </w:p>
        </w:tc>
        <w:tc>
          <w:tcPr>
            <w:tcW w:w="25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高压开关柜、断路器项目</w:t>
            </w:r>
          </w:p>
        </w:tc>
        <w:tc>
          <w:tcPr>
            <w:tcW w:w="18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西电集团、特变电工</w:t>
            </w:r>
          </w:p>
        </w:tc>
        <w:tc>
          <w:tcPr>
            <w:tcW w:w="3947" w:type="dxa"/>
            <w:tcBorders>
              <w:top w:val="nil"/>
              <w:left w:val="nil"/>
              <w:bottom w:val="single" w:color="auto" w:sz="4" w:space="0"/>
              <w:right w:val="single" w:color="auto" w:sz="4" w:space="0"/>
            </w:tcBorders>
            <w:shd w:val="clear" w:color="000000" w:fill="FFFFFF"/>
            <w:vAlign w:val="center"/>
          </w:tcPr>
          <w:p>
            <w:pPr>
              <w:widowControl/>
              <w:spacing w:line="260" w:lineRule="exact"/>
              <w:jc w:val="left"/>
              <w:rPr>
                <w:rFonts w:ascii="宋体" w:cs="Times New Roman"/>
                <w:kern w:val="0"/>
                <w:sz w:val="18"/>
                <w:szCs w:val="18"/>
              </w:rPr>
            </w:pPr>
            <w:r>
              <w:rPr>
                <w:rFonts w:hint="eastAsia" w:ascii="宋体" w:hAnsi="宋体" w:cs="宋体"/>
                <w:kern w:val="0"/>
                <w:sz w:val="18"/>
                <w:szCs w:val="18"/>
              </w:rPr>
              <w:t>年产</w:t>
            </w:r>
            <w:r>
              <w:rPr>
                <w:rFonts w:ascii="宋体" w:hAnsi="宋体" w:cs="宋体"/>
                <w:kern w:val="0"/>
                <w:sz w:val="18"/>
                <w:szCs w:val="18"/>
              </w:rPr>
              <w:t>4000</w:t>
            </w:r>
            <w:r>
              <w:rPr>
                <w:rFonts w:hint="eastAsia" w:ascii="宋体" w:hAnsi="宋体" w:cs="宋体"/>
                <w:kern w:val="0"/>
                <w:sz w:val="18"/>
                <w:szCs w:val="18"/>
              </w:rPr>
              <w:t>面高压开关柜、</w:t>
            </w:r>
            <w:r>
              <w:rPr>
                <w:rFonts w:ascii="宋体" w:hAnsi="宋体" w:cs="宋体"/>
                <w:kern w:val="0"/>
                <w:sz w:val="18"/>
                <w:szCs w:val="18"/>
              </w:rPr>
              <w:t>1000</w:t>
            </w:r>
            <w:r>
              <w:rPr>
                <w:rFonts w:hint="eastAsia" w:ascii="宋体" w:hAnsi="宋体" w:cs="宋体"/>
                <w:kern w:val="0"/>
                <w:sz w:val="18"/>
                <w:szCs w:val="18"/>
              </w:rPr>
              <w:t>台</w:t>
            </w:r>
            <w:r>
              <w:rPr>
                <w:rFonts w:ascii="宋体" w:hAnsi="宋体" w:cs="宋体"/>
                <w:kern w:val="0"/>
                <w:sz w:val="18"/>
                <w:szCs w:val="18"/>
              </w:rPr>
              <w:t>252KV</w:t>
            </w:r>
            <w:r>
              <w:rPr>
                <w:rFonts w:hint="eastAsia" w:ascii="宋体" w:hAnsi="宋体" w:cs="宋体"/>
                <w:kern w:val="0"/>
                <w:sz w:val="18"/>
                <w:szCs w:val="18"/>
              </w:rPr>
              <w:t>断路器生产项目</w:t>
            </w:r>
          </w:p>
        </w:tc>
        <w:tc>
          <w:tcPr>
            <w:tcW w:w="1190"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25,000</w:t>
            </w:r>
          </w:p>
        </w:tc>
        <w:tc>
          <w:tcPr>
            <w:tcW w:w="1148"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55,000</w:t>
            </w:r>
          </w:p>
        </w:tc>
        <w:tc>
          <w:tcPr>
            <w:tcW w:w="1217"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输变电</w:t>
            </w:r>
          </w:p>
        </w:tc>
        <w:tc>
          <w:tcPr>
            <w:tcW w:w="1442"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上杭县工业园</w:t>
            </w:r>
          </w:p>
        </w:tc>
      </w:tr>
      <w:tr>
        <w:trPr>
          <w:trHeight w:val="450" w:hRule="atLeast"/>
        </w:trPr>
        <w:tc>
          <w:tcPr>
            <w:tcW w:w="560" w:type="dxa"/>
            <w:tcBorders>
              <w:top w:val="nil"/>
              <w:left w:val="single" w:color="auto" w:sz="4" w:space="0"/>
              <w:bottom w:val="single" w:color="auto" w:sz="4" w:space="0"/>
              <w:right w:val="single" w:color="auto" w:sz="4" w:space="0"/>
            </w:tcBorders>
            <w:shd w:val="clear" w:color="000000" w:fill="D9D9D9"/>
            <w:vAlign w:val="center"/>
          </w:tcPr>
          <w:p>
            <w:pPr>
              <w:widowControl/>
              <w:jc w:val="center"/>
              <w:rPr>
                <w:rFonts w:ascii="宋体" w:cs="Times New Roman"/>
                <w:b/>
                <w:bCs/>
                <w:kern w:val="0"/>
                <w:sz w:val="18"/>
                <w:szCs w:val="18"/>
              </w:rPr>
            </w:pPr>
            <w:r>
              <w:rPr>
                <w:rFonts w:ascii="宋体" w:hAnsi="宋体" w:cs="宋体"/>
                <w:b/>
                <w:bCs/>
                <w:kern w:val="0"/>
                <w:sz w:val="18"/>
                <w:szCs w:val="18"/>
              </w:rPr>
              <w:t>21</w:t>
            </w:r>
          </w:p>
        </w:tc>
        <w:tc>
          <w:tcPr>
            <w:tcW w:w="25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超特高压输变换流阀项目</w:t>
            </w:r>
          </w:p>
        </w:tc>
        <w:tc>
          <w:tcPr>
            <w:tcW w:w="1862" w:type="dxa"/>
            <w:tcBorders>
              <w:top w:val="nil"/>
              <w:left w:val="nil"/>
              <w:bottom w:val="single" w:color="auto" w:sz="4" w:space="0"/>
              <w:right w:val="single" w:color="auto" w:sz="4" w:space="0"/>
            </w:tcBorders>
            <w:shd w:val="clear" w:color="000000" w:fill="FFFFFF"/>
            <w:vAlign w:val="center"/>
          </w:tcPr>
          <w:p>
            <w:pPr>
              <w:widowControl/>
              <w:spacing w:line="240" w:lineRule="exact"/>
              <w:jc w:val="left"/>
              <w:rPr>
                <w:rFonts w:ascii="宋体" w:cs="Times New Roman"/>
                <w:kern w:val="0"/>
                <w:sz w:val="18"/>
                <w:szCs w:val="18"/>
              </w:rPr>
            </w:pPr>
            <w:r>
              <w:rPr>
                <w:rFonts w:hint="eastAsia" w:ascii="宋体" w:hAnsi="宋体" w:cs="宋体"/>
                <w:kern w:val="0"/>
                <w:sz w:val="18"/>
                <w:szCs w:val="18"/>
              </w:rPr>
              <w:t>西电集团、国电南瑞</w:t>
            </w:r>
          </w:p>
        </w:tc>
        <w:tc>
          <w:tcPr>
            <w:tcW w:w="3947" w:type="dxa"/>
            <w:tcBorders>
              <w:top w:val="nil"/>
              <w:left w:val="nil"/>
              <w:bottom w:val="single" w:color="auto" w:sz="4" w:space="0"/>
              <w:right w:val="single" w:color="auto" w:sz="4" w:space="0"/>
            </w:tcBorders>
            <w:shd w:val="clear" w:color="000000" w:fill="FFFFFF"/>
            <w:vAlign w:val="center"/>
          </w:tcPr>
          <w:p>
            <w:pPr>
              <w:widowControl/>
              <w:spacing w:line="240" w:lineRule="exact"/>
              <w:ind w:right="31680" w:rightChars="-51"/>
              <w:jc w:val="left"/>
              <w:rPr>
                <w:rFonts w:ascii="宋体" w:cs="Times New Roman"/>
                <w:kern w:val="0"/>
                <w:sz w:val="18"/>
                <w:szCs w:val="18"/>
              </w:rPr>
            </w:pPr>
            <w:r>
              <w:rPr>
                <w:rFonts w:hint="eastAsia" w:ascii="宋体" w:hAnsi="宋体" w:cs="宋体"/>
                <w:kern w:val="0"/>
                <w:sz w:val="18"/>
                <w:szCs w:val="18"/>
              </w:rPr>
              <w:t>年产</w:t>
            </w:r>
            <w:r>
              <w:rPr>
                <w:rFonts w:ascii="宋体" w:hAnsi="宋体" w:cs="宋体"/>
                <w:kern w:val="0"/>
                <w:sz w:val="18"/>
                <w:szCs w:val="18"/>
              </w:rPr>
              <w:t>10</w:t>
            </w:r>
            <w:r>
              <w:rPr>
                <w:rFonts w:hint="eastAsia" w:ascii="宋体" w:hAnsi="宋体" w:cs="宋体"/>
                <w:kern w:val="0"/>
                <w:sz w:val="18"/>
                <w:szCs w:val="18"/>
              </w:rPr>
              <w:t>台±</w:t>
            </w:r>
            <w:r>
              <w:rPr>
                <w:rFonts w:ascii="宋体" w:hAnsi="宋体" w:cs="宋体"/>
                <w:kern w:val="0"/>
                <w:sz w:val="18"/>
                <w:szCs w:val="18"/>
              </w:rPr>
              <w:t>535</w:t>
            </w:r>
            <w:r>
              <w:rPr>
                <w:rFonts w:hint="eastAsia" w:ascii="宋体" w:hAnsi="宋体" w:cs="宋体"/>
                <w:kern w:val="0"/>
                <w:sz w:val="18"/>
                <w:szCs w:val="18"/>
              </w:rPr>
              <w:t>千伏</w:t>
            </w:r>
            <w:r>
              <w:rPr>
                <w:rFonts w:ascii="宋体" w:hAnsi="宋体" w:cs="宋体"/>
                <w:kern w:val="0"/>
                <w:sz w:val="18"/>
                <w:szCs w:val="18"/>
              </w:rPr>
              <w:t>/3000</w:t>
            </w:r>
            <w:r>
              <w:rPr>
                <w:rFonts w:hint="eastAsia" w:ascii="宋体" w:hAnsi="宋体" w:cs="宋体"/>
                <w:kern w:val="0"/>
                <w:sz w:val="18"/>
                <w:szCs w:val="18"/>
              </w:rPr>
              <w:t>兆瓦柔性直流换流阀</w:t>
            </w:r>
          </w:p>
        </w:tc>
        <w:tc>
          <w:tcPr>
            <w:tcW w:w="1190"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50,000</w:t>
            </w:r>
          </w:p>
        </w:tc>
        <w:tc>
          <w:tcPr>
            <w:tcW w:w="1148"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150,000</w:t>
            </w:r>
          </w:p>
        </w:tc>
        <w:tc>
          <w:tcPr>
            <w:tcW w:w="1217"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输变电</w:t>
            </w:r>
          </w:p>
        </w:tc>
        <w:tc>
          <w:tcPr>
            <w:tcW w:w="1442"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上杭县工业园</w:t>
            </w:r>
          </w:p>
        </w:tc>
      </w:tr>
      <w:tr>
        <w:trPr>
          <w:trHeight w:val="450" w:hRule="atLeast"/>
        </w:trPr>
        <w:tc>
          <w:tcPr>
            <w:tcW w:w="560" w:type="dxa"/>
            <w:tcBorders>
              <w:top w:val="nil"/>
              <w:left w:val="single" w:color="auto" w:sz="4" w:space="0"/>
              <w:bottom w:val="single" w:color="auto" w:sz="4" w:space="0"/>
              <w:right w:val="single" w:color="auto" w:sz="4" w:space="0"/>
            </w:tcBorders>
            <w:shd w:val="clear" w:color="000000" w:fill="D9D9D9"/>
            <w:vAlign w:val="center"/>
          </w:tcPr>
          <w:p>
            <w:pPr>
              <w:widowControl/>
              <w:jc w:val="center"/>
              <w:rPr>
                <w:rFonts w:ascii="宋体" w:cs="Times New Roman"/>
                <w:b/>
                <w:bCs/>
                <w:kern w:val="0"/>
                <w:sz w:val="18"/>
                <w:szCs w:val="18"/>
              </w:rPr>
            </w:pPr>
            <w:r>
              <w:rPr>
                <w:rFonts w:ascii="宋体" w:hAnsi="宋体" w:cs="宋体"/>
                <w:b/>
                <w:bCs/>
                <w:kern w:val="0"/>
                <w:sz w:val="18"/>
                <w:szCs w:val="18"/>
              </w:rPr>
              <w:t>22</w:t>
            </w:r>
          </w:p>
        </w:tc>
        <w:tc>
          <w:tcPr>
            <w:tcW w:w="25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超高压直流架空电力电缆</w:t>
            </w:r>
          </w:p>
        </w:tc>
        <w:tc>
          <w:tcPr>
            <w:tcW w:w="18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亨通电缆、宝胜集团</w:t>
            </w:r>
          </w:p>
        </w:tc>
        <w:tc>
          <w:tcPr>
            <w:tcW w:w="3947"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年产</w:t>
            </w:r>
            <w:r>
              <w:rPr>
                <w:rFonts w:ascii="宋体" w:hAnsi="宋体" w:cs="宋体"/>
                <w:kern w:val="0"/>
                <w:sz w:val="18"/>
                <w:szCs w:val="18"/>
              </w:rPr>
              <w:t>1500</w:t>
            </w:r>
            <w:r>
              <w:rPr>
                <w:rFonts w:hint="eastAsia" w:ascii="宋体" w:hAnsi="宋体" w:cs="宋体"/>
                <w:kern w:val="0"/>
                <w:sz w:val="18"/>
                <w:szCs w:val="18"/>
              </w:rPr>
              <w:t>公里高压、超高压交联电缆领域</w:t>
            </w:r>
          </w:p>
        </w:tc>
        <w:tc>
          <w:tcPr>
            <w:tcW w:w="1190"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25,000</w:t>
            </w:r>
          </w:p>
        </w:tc>
        <w:tc>
          <w:tcPr>
            <w:tcW w:w="1148"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120,000</w:t>
            </w:r>
          </w:p>
        </w:tc>
        <w:tc>
          <w:tcPr>
            <w:tcW w:w="1217"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输变电</w:t>
            </w:r>
          </w:p>
        </w:tc>
        <w:tc>
          <w:tcPr>
            <w:tcW w:w="1442"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上杭县工业园</w:t>
            </w:r>
          </w:p>
        </w:tc>
      </w:tr>
      <w:tr>
        <w:trPr>
          <w:trHeight w:val="270" w:hRule="atLeast"/>
        </w:trPr>
        <w:tc>
          <w:tcPr>
            <w:tcW w:w="560" w:type="dxa"/>
            <w:tcBorders>
              <w:top w:val="nil"/>
              <w:left w:val="single" w:color="auto" w:sz="4" w:space="0"/>
              <w:bottom w:val="single" w:color="auto" w:sz="4" w:space="0"/>
              <w:right w:val="single" w:color="auto" w:sz="4" w:space="0"/>
            </w:tcBorders>
            <w:shd w:val="clear" w:color="000000" w:fill="D9D9D9"/>
            <w:vAlign w:val="center"/>
          </w:tcPr>
          <w:p>
            <w:pPr>
              <w:widowControl/>
              <w:jc w:val="center"/>
              <w:rPr>
                <w:rFonts w:ascii="宋体" w:cs="Times New Roman"/>
                <w:b/>
                <w:bCs/>
                <w:kern w:val="0"/>
                <w:sz w:val="18"/>
                <w:szCs w:val="18"/>
              </w:rPr>
            </w:pPr>
            <w:r>
              <w:rPr>
                <w:rFonts w:ascii="宋体" w:hAnsi="宋体" w:cs="宋体"/>
                <w:b/>
                <w:bCs/>
                <w:kern w:val="0"/>
                <w:sz w:val="18"/>
                <w:szCs w:val="18"/>
              </w:rPr>
              <w:t>23</w:t>
            </w:r>
          </w:p>
        </w:tc>
        <w:tc>
          <w:tcPr>
            <w:tcW w:w="25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信号及控制电缆</w:t>
            </w:r>
          </w:p>
        </w:tc>
        <w:tc>
          <w:tcPr>
            <w:tcW w:w="18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阳谷电缆、万马电缆</w:t>
            </w:r>
          </w:p>
        </w:tc>
        <w:tc>
          <w:tcPr>
            <w:tcW w:w="3947"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年产</w:t>
            </w:r>
            <w:r>
              <w:rPr>
                <w:rFonts w:ascii="宋体" w:hAnsi="宋体" w:cs="宋体"/>
                <w:kern w:val="0"/>
                <w:sz w:val="18"/>
                <w:szCs w:val="18"/>
              </w:rPr>
              <w:t>1000</w:t>
            </w:r>
            <w:r>
              <w:rPr>
                <w:rFonts w:hint="eastAsia" w:ascii="宋体" w:hAnsi="宋体" w:cs="宋体"/>
                <w:kern w:val="0"/>
                <w:sz w:val="18"/>
                <w:szCs w:val="18"/>
              </w:rPr>
              <w:t>公里高压、超高压交联电缆领域</w:t>
            </w:r>
          </w:p>
        </w:tc>
        <w:tc>
          <w:tcPr>
            <w:tcW w:w="1190"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20,000</w:t>
            </w:r>
          </w:p>
        </w:tc>
        <w:tc>
          <w:tcPr>
            <w:tcW w:w="1148"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80,000</w:t>
            </w:r>
          </w:p>
        </w:tc>
        <w:tc>
          <w:tcPr>
            <w:tcW w:w="1217"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输变电</w:t>
            </w:r>
          </w:p>
        </w:tc>
        <w:tc>
          <w:tcPr>
            <w:tcW w:w="1442"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上杭县工业园</w:t>
            </w:r>
          </w:p>
        </w:tc>
      </w:tr>
      <w:tr>
        <w:trPr>
          <w:trHeight w:val="270" w:hRule="atLeast"/>
        </w:trPr>
        <w:tc>
          <w:tcPr>
            <w:tcW w:w="560" w:type="dxa"/>
            <w:tcBorders>
              <w:top w:val="nil"/>
              <w:left w:val="single" w:color="auto" w:sz="4" w:space="0"/>
              <w:bottom w:val="single" w:color="auto" w:sz="4" w:space="0"/>
              <w:right w:val="single" w:color="auto" w:sz="4" w:space="0"/>
            </w:tcBorders>
            <w:shd w:val="clear" w:color="000000" w:fill="D9D9D9"/>
            <w:vAlign w:val="center"/>
          </w:tcPr>
          <w:p>
            <w:pPr>
              <w:widowControl/>
              <w:jc w:val="center"/>
              <w:rPr>
                <w:rFonts w:ascii="宋体" w:cs="Times New Roman"/>
                <w:b/>
                <w:bCs/>
                <w:kern w:val="0"/>
                <w:sz w:val="18"/>
                <w:szCs w:val="18"/>
              </w:rPr>
            </w:pPr>
            <w:r>
              <w:rPr>
                <w:rFonts w:ascii="宋体" w:hAnsi="宋体" w:cs="宋体"/>
                <w:b/>
                <w:bCs/>
                <w:kern w:val="0"/>
                <w:sz w:val="18"/>
                <w:szCs w:val="18"/>
              </w:rPr>
              <w:t>24</w:t>
            </w:r>
          </w:p>
        </w:tc>
        <w:tc>
          <w:tcPr>
            <w:tcW w:w="25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低电感电缆</w:t>
            </w:r>
          </w:p>
        </w:tc>
        <w:tc>
          <w:tcPr>
            <w:tcW w:w="18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上上电缆</w:t>
            </w:r>
            <w:r>
              <w:rPr>
                <w:rFonts w:ascii="宋体" w:hAnsi="宋体" w:cs="宋体"/>
                <w:kern w:val="0"/>
                <w:sz w:val="18"/>
                <w:szCs w:val="18"/>
              </w:rPr>
              <w:t>/</w:t>
            </w:r>
            <w:r>
              <w:rPr>
                <w:rFonts w:hint="eastAsia" w:ascii="宋体" w:hAnsi="宋体" w:cs="宋体"/>
                <w:kern w:val="0"/>
                <w:sz w:val="18"/>
                <w:szCs w:val="18"/>
              </w:rPr>
              <w:t>太阳电缆</w:t>
            </w:r>
          </w:p>
        </w:tc>
        <w:tc>
          <w:tcPr>
            <w:tcW w:w="3947"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年产</w:t>
            </w:r>
            <w:r>
              <w:rPr>
                <w:rFonts w:ascii="宋体" w:hAnsi="宋体" w:cs="宋体"/>
                <w:kern w:val="0"/>
                <w:sz w:val="18"/>
                <w:szCs w:val="18"/>
              </w:rPr>
              <w:t>800</w:t>
            </w:r>
            <w:r>
              <w:rPr>
                <w:rFonts w:hint="eastAsia" w:ascii="宋体" w:hAnsi="宋体" w:cs="宋体"/>
                <w:kern w:val="0"/>
                <w:sz w:val="18"/>
                <w:szCs w:val="18"/>
              </w:rPr>
              <w:t>公里高压、超高压交联电缆领域</w:t>
            </w:r>
          </w:p>
        </w:tc>
        <w:tc>
          <w:tcPr>
            <w:tcW w:w="1190"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15,000</w:t>
            </w:r>
          </w:p>
        </w:tc>
        <w:tc>
          <w:tcPr>
            <w:tcW w:w="1148"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35,000</w:t>
            </w:r>
          </w:p>
        </w:tc>
        <w:tc>
          <w:tcPr>
            <w:tcW w:w="1217"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输变电</w:t>
            </w:r>
          </w:p>
        </w:tc>
        <w:tc>
          <w:tcPr>
            <w:tcW w:w="1442"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上杭县工业园</w:t>
            </w:r>
          </w:p>
        </w:tc>
      </w:tr>
      <w:tr>
        <w:trPr>
          <w:trHeight w:val="270" w:hRule="atLeast"/>
        </w:trPr>
        <w:tc>
          <w:tcPr>
            <w:tcW w:w="560" w:type="dxa"/>
            <w:tcBorders>
              <w:top w:val="nil"/>
              <w:left w:val="single" w:color="auto" w:sz="4" w:space="0"/>
              <w:bottom w:val="single" w:color="auto" w:sz="4" w:space="0"/>
              <w:right w:val="single" w:color="auto" w:sz="4" w:space="0"/>
            </w:tcBorders>
            <w:shd w:val="clear" w:color="000000" w:fill="D9D9D9"/>
            <w:vAlign w:val="center"/>
          </w:tcPr>
          <w:p>
            <w:pPr>
              <w:widowControl/>
              <w:jc w:val="center"/>
              <w:rPr>
                <w:rFonts w:ascii="宋体" w:cs="Times New Roman"/>
                <w:b/>
                <w:bCs/>
                <w:kern w:val="0"/>
                <w:sz w:val="18"/>
                <w:szCs w:val="18"/>
              </w:rPr>
            </w:pPr>
            <w:r>
              <w:rPr>
                <w:rFonts w:ascii="宋体" w:hAnsi="宋体" w:cs="宋体"/>
                <w:b/>
                <w:bCs/>
                <w:kern w:val="0"/>
                <w:sz w:val="18"/>
                <w:szCs w:val="18"/>
              </w:rPr>
              <w:t>25</w:t>
            </w:r>
          </w:p>
        </w:tc>
        <w:tc>
          <w:tcPr>
            <w:tcW w:w="25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信号继电器</w:t>
            </w:r>
          </w:p>
        </w:tc>
        <w:tc>
          <w:tcPr>
            <w:tcW w:w="18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西电集团、特变电工</w:t>
            </w:r>
          </w:p>
        </w:tc>
        <w:tc>
          <w:tcPr>
            <w:tcW w:w="3947"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年产</w:t>
            </w:r>
            <w:r>
              <w:rPr>
                <w:rFonts w:ascii="宋体" w:hAnsi="宋体" w:cs="宋体"/>
                <w:kern w:val="0"/>
                <w:sz w:val="18"/>
                <w:szCs w:val="18"/>
              </w:rPr>
              <w:t>500</w:t>
            </w:r>
            <w:r>
              <w:rPr>
                <w:rFonts w:hint="eastAsia" w:ascii="宋体" w:hAnsi="宋体" w:cs="宋体"/>
                <w:kern w:val="0"/>
                <w:sz w:val="18"/>
                <w:szCs w:val="18"/>
              </w:rPr>
              <w:t>万套信号继电器</w:t>
            </w:r>
          </w:p>
        </w:tc>
        <w:tc>
          <w:tcPr>
            <w:tcW w:w="1190"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4,500</w:t>
            </w:r>
          </w:p>
        </w:tc>
        <w:tc>
          <w:tcPr>
            <w:tcW w:w="1148"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21,000</w:t>
            </w:r>
          </w:p>
        </w:tc>
        <w:tc>
          <w:tcPr>
            <w:tcW w:w="1217"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输变电</w:t>
            </w:r>
          </w:p>
        </w:tc>
        <w:tc>
          <w:tcPr>
            <w:tcW w:w="1442"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上杭县工业园</w:t>
            </w:r>
          </w:p>
        </w:tc>
      </w:tr>
      <w:tr>
        <w:trPr>
          <w:trHeight w:val="270" w:hRule="atLeast"/>
        </w:trPr>
        <w:tc>
          <w:tcPr>
            <w:tcW w:w="560" w:type="dxa"/>
            <w:tcBorders>
              <w:top w:val="nil"/>
              <w:left w:val="single" w:color="auto" w:sz="4" w:space="0"/>
              <w:bottom w:val="single" w:color="auto" w:sz="4" w:space="0"/>
              <w:right w:val="single" w:color="auto" w:sz="4" w:space="0"/>
            </w:tcBorders>
            <w:shd w:val="clear" w:color="000000" w:fill="D9D9D9"/>
            <w:vAlign w:val="center"/>
          </w:tcPr>
          <w:p>
            <w:pPr>
              <w:widowControl/>
              <w:jc w:val="center"/>
              <w:rPr>
                <w:rFonts w:ascii="宋体" w:cs="Times New Roman"/>
                <w:b/>
                <w:bCs/>
                <w:kern w:val="0"/>
                <w:sz w:val="18"/>
                <w:szCs w:val="18"/>
              </w:rPr>
            </w:pPr>
            <w:r>
              <w:rPr>
                <w:rFonts w:ascii="宋体" w:hAnsi="宋体" w:cs="宋体"/>
                <w:b/>
                <w:bCs/>
                <w:kern w:val="0"/>
                <w:sz w:val="18"/>
                <w:szCs w:val="18"/>
              </w:rPr>
              <w:t>26</w:t>
            </w:r>
          </w:p>
        </w:tc>
        <w:tc>
          <w:tcPr>
            <w:tcW w:w="25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阻流电感器</w:t>
            </w:r>
          </w:p>
        </w:tc>
        <w:tc>
          <w:tcPr>
            <w:tcW w:w="18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西电集团、特变电工</w:t>
            </w:r>
          </w:p>
        </w:tc>
        <w:tc>
          <w:tcPr>
            <w:tcW w:w="3947"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年产</w:t>
            </w:r>
            <w:r>
              <w:rPr>
                <w:rFonts w:ascii="宋体" w:hAnsi="宋体" w:cs="宋体"/>
                <w:kern w:val="0"/>
                <w:sz w:val="18"/>
                <w:szCs w:val="18"/>
              </w:rPr>
              <w:t>400</w:t>
            </w:r>
            <w:r>
              <w:rPr>
                <w:rFonts w:hint="eastAsia" w:ascii="宋体" w:hAnsi="宋体" w:cs="宋体"/>
                <w:kern w:val="0"/>
                <w:sz w:val="18"/>
                <w:szCs w:val="18"/>
              </w:rPr>
              <w:t>万套信号继电器</w:t>
            </w:r>
          </w:p>
        </w:tc>
        <w:tc>
          <w:tcPr>
            <w:tcW w:w="1190"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4,000</w:t>
            </w:r>
          </w:p>
        </w:tc>
        <w:tc>
          <w:tcPr>
            <w:tcW w:w="1148"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17,000</w:t>
            </w:r>
          </w:p>
        </w:tc>
        <w:tc>
          <w:tcPr>
            <w:tcW w:w="1217"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输变电</w:t>
            </w:r>
          </w:p>
        </w:tc>
        <w:tc>
          <w:tcPr>
            <w:tcW w:w="1442"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上杭县工业园</w:t>
            </w:r>
          </w:p>
        </w:tc>
      </w:tr>
      <w:tr>
        <w:trPr>
          <w:trHeight w:val="270" w:hRule="atLeast"/>
        </w:trPr>
        <w:tc>
          <w:tcPr>
            <w:tcW w:w="560" w:type="dxa"/>
            <w:tcBorders>
              <w:top w:val="nil"/>
              <w:left w:val="single" w:color="auto" w:sz="4" w:space="0"/>
              <w:bottom w:val="single" w:color="auto" w:sz="4" w:space="0"/>
              <w:right w:val="single" w:color="auto" w:sz="4" w:space="0"/>
            </w:tcBorders>
            <w:shd w:val="clear" w:color="000000" w:fill="D9D9D9"/>
            <w:vAlign w:val="center"/>
          </w:tcPr>
          <w:p>
            <w:pPr>
              <w:widowControl/>
              <w:jc w:val="center"/>
              <w:rPr>
                <w:rFonts w:ascii="宋体" w:cs="Times New Roman"/>
                <w:b/>
                <w:bCs/>
                <w:kern w:val="0"/>
                <w:sz w:val="18"/>
                <w:szCs w:val="18"/>
              </w:rPr>
            </w:pPr>
            <w:r>
              <w:rPr>
                <w:rFonts w:ascii="宋体" w:hAnsi="宋体" w:cs="宋体"/>
                <w:b/>
                <w:bCs/>
                <w:kern w:val="0"/>
                <w:sz w:val="18"/>
                <w:szCs w:val="18"/>
              </w:rPr>
              <w:t>27</w:t>
            </w:r>
          </w:p>
        </w:tc>
        <w:tc>
          <w:tcPr>
            <w:tcW w:w="25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无机绝缘线</w:t>
            </w:r>
          </w:p>
        </w:tc>
        <w:tc>
          <w:tcPr>
            <w:tcW w:w="18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精达股份、冠城大通</w:t>
            </w:r>
          </w:p>
        </w:tc>
        <w:tc>
          <w:tcPr>
            <w:tcW w:w="3947"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年产</w:t>
            </w:r>
            <w:r>
              <w:rPr>
                <w:rFonts w:ascii="宋体" w:hAnsi="宋体" w:cs="宋体"/>
                <w:kern w:val="0"/>
                <w:sz w:val="18"/>
                <w:szCs w:val="18"/>
              </w:rPr>
              <w:t>1000</w:t>
            </w:r>
            <w:r>
              <w:rPr>
                <w:rFonts w:hint="eastAsia" w:ascii="宋体" w:hAnsi="宋体" w:cs="宋体"/>
                <w:kern w:val="0"/>
                <w:sz w:val="18"/>
                <w:szCs w:val="18"/>
              </w:rPr>
              <w:t>公里纤维绕包线</w:t>
            </w:r>
          </w:p>
        </w:tc>
        <w:tc>
          <w:tcPr>
            <w:tcW w:w="1190"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26,000</w:t>
            </w:r>
          </w:p>
        </w:tc>
        <w:tc>
          <w:tcPr>
            <w:tcW w:w="1148"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55,000</w:t>
            </w:r>
          </w:p>
        </w:tc>
        <w:tc>
          <w:tcPr>
            <w:tcW w:w="1217"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输变电</w:t>
            </w:r>
          </w:p>
        </w:tc>
        <w:tc>
          <w:tcPr>
            <w:tcW w:w="1442"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上杭县工业园</w:t>
            </w:r>
          </w:p>
        </w:tc>
      </w:tr>
      <w:tr>
        <w:trPr>
          <w:trHeight w:val="450" w:hRule="atLeast"/>
        </w:trPr>
        <w:tc>
          <w:tcPr>
            <w:tcW w:w="560" w:type="dxa"/>
            <w:tcBorders>
              <w:top w:val="nil"/>
              <w:left w:val="single" w:color="auto" w:sz="4" w:space="0"/>
              <w:bottom w:val="single" w:color="auto" w:sz="4" w:space="0"/>
              <w:right w:val="single" w:color="auto" w:sz="4" w:space="0"/>
            </w:tcBorders>
            <w:shd w:val="clear" w:color="000000" w:fill="D9D9D9"/>
            <w:vAlign w:val="center"/>
          </w:tcPr>
          <w:p>
            <w:pPr>
              <w:widowControl/>
              <w:jc w:val="center"/>
              <w:rPr>
                <w:rFonts w:ascii="宋体" w:cs="Times New Roman"/>
                <w:b/>
                <w:bCs/>
                <w:kern w:val="0"/>
                <w:sz w:val="18"/>
                <w:szCs w:val="18"/>
              </w:rPr>
            </w:pPr>
            <w:r>
              <w:rPr>
                <w:rFonts w:ascii="宋体" w:hAnsi="宋体" w:cs="宋体"/>
                <w:b/>
                <w:bCs/>
                <w:kern w:val="0"/>
                <w:sz w:val="18"/>
                <w:szCs w:val="18"/>
              </w:rPr>
              <w:t>28</w:t>
            </w:r>
          </w:p>
        </w:tc>
        <w:tc>
          <w:tcPr>
            <w:tcW w:w="25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铜芯铝绞线</w:t>
            </w:r>
          </w:p>
        </w:tc>
        <w:tc>
          <w:tcPr>
            <w:tcW w:w="18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津达电缆、上上电缆</w:t>
            </w:r>
            <w:r>
              <w:rPr>
                <w:rFonts w:ascii="宋体" w:hAnsi="宋体" w:cs="宋体"/>
                <w:kern w:val="0"/>
                <w:sz w:val="18"/>
                <w:szCs w:val="18"/>
              </w:rPr>
              <w:t>/</w:t>
            </w:r>
            <w:r>
              <w:rPr>
                <w:rFonts w:hint="eastAsia" w:ascii="宋体" w:hAnsi="宋体" w:cs="宋体"/>
                <w:kern w:val="0"/>
                <w:sz w:val="18"/>
                <w:szCs w:val="18"/>
              </w:rPr>
              <w:t>太阳电缆</w:t>
            </w:r>
          </w:p>
        </w:tc>
        <w:tc>
          <w:tcPr>
            <w:tcW w:w="3947"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年产</w:t>
            </w:r>
            <w:r>
              <w:rPr>
                <w:rFonts w:ascii="宋体" w:hAnsi="宋体" w:cs="宋体"/>
                <w:kern w:val="0"/>
                <w:sz w:val="18"/>
                <w:szCs w:val="18"/>
              </w:rPr>
              <w:t>800</w:t>
            </w:r>
            <w:r>
              <w:rPr>
                <w:rFonts w:hint="eastAsia" w:ascii="宋体" w:hAnsi="宋体" w:cs="宋体"/>
                <w:kern w:val="0"/>
                <w:sz w:val="18"/>
                <w:szCs w:val="18"/>
              </w:rPr>
              <w:t>公里纤维绕包线</w:t>
            </w:r>
          </w:p>
        </w:tc>
        <w:tc>
          <w:tcPr>
            <w:tcW w:w="1190"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5,000</w:t>
            </w:r>
          </w:p>
        </w:tc>
        <w:tc>
          <w:tcPr>
            <w:tcW w:w="1148"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150,000</w:t>
            </w:r>
          </w:p>
        </w:tc>
        <w:tc>
          <w:tcPr>
            <w:tcW w:w="1217"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输变电</w:t>
            </w:r>
          </w:p>
        </w:tc>
        <w:tc>
          <w:tcPr>
            <w:tcW w:w="1442"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上杭县工业园</w:t>
            </w:r>
          </w:p>
        </w:tc>
      </w:tr>
      <w:tr>
        <w:trPr>
          <w:trHeight w:val="450" w:hRule="atLeast"/>
        </w:trPr>
        <w:tc>
          <w:tcPr>
            <w:tcW w:w="560" w:type="dxa"/>
            <w:tcBorders>
              <w:top w:val="nil"/>
              <w:left w:val="single" w:color="auto" w:sz="4" w:space="0"/>
              <w:bottom w:val="single" w:color="auto" w:sz="4" w:space="0"/>
              <w:right w:val="single" w:color="auto" w:sz="4" w:space="0"/>
            </w:tcBorders>
            <w:shd w:val="clear" w:color="000000" w:fill="D9D9D9"/>
            <w:vAlign w:val="center"/>
          </w:tcPr>
          <w:p>
            <w:pPr>
              <w:widowControl/>
              <w:jc w:val="center"/>
              <w:rPr>
                <w:rFonts w:ascii="宋体" w:cs="Times New Roman"/>
                <w:b/>
                <w:bCs/>
                <w:kern w:val="0"/>
                <w:sz w:val="18"/>
                <w:szCs w:val="18"/>
              </w:rPr>
            </w:pPr>
            <w:r>
              <w:rPr>
                <w:rFonts w:ascii="宋体" w:hAnsi="宋体" w:cs="宋体"/>
                <w:b/>
                <w:bCs/>
                <w:kern w:val="0"/>
                <w:sz w:val="18"/>
                <w:szCs w:val="18"/>
              </w:rPr>
              <w:t>29</w:t>
            </w:r>
          </w:p>
        </w:tc>
        <w:tc>
          <w:tcPr>
            <w:tcW w:w="25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特高压变压器</w:t>
            </w:r>
            <w:r>
              <w:rPr>
                <w:rFonts w:ascii="宋体" w:hAnsi="宋体" w:cs="宋体"/>
                <w:kern w:val="0"/>
                <w:sz w:val="18"/>
                <w:szCs w:val="18"/>
              </w:rPr>
              <w:t>/</w:t>
            </w:r>
            <w:r>
              <w:rPr>
                <w:rFonts w:hint="eastAsia" w:ascii="宋体" w:hAnsi="宋体" w:cs="宋体"/>
                <w:kern w:val="0"/>
                <w:sz w:val="18"/>
                <w:szCs w:val="18"/>
              </w:rPr>
              <w:t>整流器</w:t>
            </w:r>
            <w:r>
              <w:rPr>
                <w:rFonts w:ascii="宋体" w:hAnsi="宋体" w:cs="宋体"/>
                <w:kern w:val="0"/>
                <w:sz w:val="18"/>
                <w:szCs w:val="18"/>
              </w:rPr>
              <w:t>/</w:t>
            </w:r>
            <w:r>
              <w:rPr>
                <w:rFonts w:hint="eastAsia" w:ascii="宋体" w:hAnsi="宋体" w:cs="宋体"/>
                <w:kern w:val="0"/>
                <w:sz w:val="18"/>
                <w:szCs w:val="18"/>
              </w:rPr>
              <w:t>电感器</w:t>
            </w:r>
          </w:p>
        </w:tc>
        <w:tc>
          <w:tcPr>
            <w:tcW w:w="1862" w:type="dxa"/>
            <w:tcBorders>
              <w:top w:val="nil"/>
              <w:left w:val="nil"/>
              <w:bottom w:val="single" w:color="auto" w:sz="4" w:space="0"/>
              <w:right w:val="single" w:color="auto" w:sz="4" w:space="0"/>
            </w:tcBorders>
            <w:shd w:val="clear" w:color="000000" w:fill="FFFFFF"/>
            <w:vAlign w:val="center"/>
          </w:tcPr>
          <w:p>
            <w:pPr>
              <w:widowControl/>
              <w:spacing w:line="260" w:lineRule="exact"/>
              <w:jc w:val="left"/>
              <w:rPr>
                <w:rFonts w:ascii="宋体" w:cs="Times New Roman"/>
                <w:kern w:val="0"/>
                <w:sz w:val="18"/>
                <w:szCs w:val="18"/>
              </w:rPr>
            </w:pPr>
            <w:r>
              <w:rPr>
                <w:rFonts w:hint="eastAsia" w:ascii="宋体" w:hAnsi="宋体" w:cs="宋体"/>
                <w:kern w:val="0"/>
                <w:sz w:val="18"/>
                <w:szCs w:val="18"/>
              </w:rPr>
              <w:t>常州西电变压器有限公司</w:t>
            </w:r>
          </w:p>
        </w:tc>
        <w:tc>
          <w:tcPr>
            <w:tcW w:w="3947"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年产</w:t>
            </w:r>
            <w:r>
              <w:rPr>
                <w:rFonts w:ascii="宋体" w:hAnsi="宋体" w:cs="宋体"/>
                <w:kern w:val="0"/>
                <w:sz w:val="18"/>
                <w:szCs w:val="18"/>
              </w:rPr>
              <w:t>10000MVA</w:t>
            </w:r>
            <w:r>
              <w:rPr>
                <w:rFonts w:hint="eastAsia" w:ascii="宋体" w:hAnsi="宋体" w:cs="宋体"/>
                <w:kern w:val="0"/>
                <w:sz w:val="18"/>
                <w:szCs w:val="18"/>
              </w:rPr>
              <w:t>特高压变压器</w:t>
            </w:r>
            <w:r>
              <w:rPr>
                <w:rFonts w:ascii="宋体" w:hAnsi="宋体" w:cs="宋体"/>
                <w:kern w:val="0"/>
                <w:sz w:val="18"/>
                <w:szCs w:val="18"/>
              </w:rPr>
              <w:t>/</w:t>
            </w:r>
            <w:r>
              <w:rPr>
                <w:rFonts w:hint="eastAsia" w:ascii="宋体" w:hAnsi="宋体" w:cs="宋体"/>
                <w:kern w:val="0"/>
                <w:sz w:val="18"/>
                <w:szCs w:val="18"/>
              </w:rPr>
              <w:t>整流器</w:t>
            </w:r>
            <w:r>
              <w:rPr>
                <w:rFonts w:ascii="宋体" w:hAnsi="宋体" w:cs="宋体"/>
                <w:kern w:val="0"/>
                <w:sz w:val="18"/>
                <w:szCs w:val="18"/>
              </w:rPr>
              <w:t>/</w:t>
            </w:r>
            <w:r>
              <w:rPr>
                <w:rFonts w:hint="eastAsia" w:ascii="宋体" w:hAnsi="宋体" w:cs="宋体"/>
                <w:kern w:val="0"/>
                <w:sz w:val="18"/>
                <w:szCs w:val="18"/>
              </w:rPr>
              <w:t>电感器</w:t>
            </w:r>
          </w:p>
        </w:tc>
        <w:tc>
          <w:tcPr>
            <w:tcW w:w="1190"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100,000</w:t>
            </w:r>
          </w:p>
        </w:tc>
        <w:tc>
          <w:tcPr>
            <w:tcW w:w="1148"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140,000</w:t>
            </w:r>
          </w:p>
        </w:tc>
        <w:tc>
          <w:tcPr>
            <w:tcW w:w="1217"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输变电</w:t>
            </w:r>
          </w:p>
        </w:tc>
        <w:tc>
          <w:tcPr>
            <w:tcW w:w="1442"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上杭县工业园</w:t>
            </w:r>
          </w:p>
        </w:tc>
      </w:tr>
      <w:tr>
        <w:trPr>
          <w:trHeight w:val="675" w:hRule="atLeast"/>
        </w:trPr>
        <w:tc>
          <w:tcPr>
            <w:tcW w:w="560" w:type="dxa"/>
            <w:tcBorders>
              <w:top w:val="nil"/>
              <w:left w:val="single" w:color="auto" w:sz="4" w:space="0"/>
              <w:bottom w:val="single" w:color="auto" w:sz="4" w:space="0"/>
              <w:right w:val="single" w:color="auto" w:sz="4" w:space="0"/>
            </w:tcBorders>
            <w:shd w:val="clear" w:color="000000" w:fill="D9D9D9"/>
            <w:vAlign w:val="center"/>
          </w:tcPr>
          <w:p>
            <w:pPr>
              <w:widowControl/>
              <w:jc w:val="center"/>
              <w:rPr>
                <w:rFonts w:ascii="宋体" w:cs="Times New Roman"/>
                <w:b/>
                <w:bCs/>
                <w:kern w:val="0"/>
                <w:sz w:val="18"/>
                <w:szCs w:val="18"/>
              </w:rPr>
            </w:pPr>
            <w:r>
              <w:rPr>
                <w:rFonts w:ascii="宋体" w:hAnsi="宋体" w:cs="宋体"/>
                <w:b/>
                <w:bCs/>
                <w:kern w:val="0"/>
                <w:sz w:val="18"/>
                <w:szCs w:val="18"/>
              </w:rPr>
              <w:t>30</w:t>
            </w:r>
          </w:p>
        </w:tc>
        <w:tc>
          <w:tcPr>
            <w:tcW w:w="2562" w:type="dxa"/>
            <w:tcBorders>
              <w:top w:val="nil"/>
              <w:left w:val="nil"/>
              <w:bottom w:val="single" w:color="auto" w:sz="4" w:space="0"/>
              <w:right w:val="single" w:color="auto" w:sz="4" w:space="0"/>
            </w:tcBorders>
            <w:shd w:val="clear" w:color="000000" w:fill="FFFFFF"/>
            <w:vAlign w:val="center"/>
          </w:tcPr>
          <w:p>
            <w:pPr>
              <w:widowControl/>
              <w:spacing w:line="260" w:lineRule="exact"/>
              <w:jc w:val="left"/>
              <w:rPr>
                <w:rFonts w:ascii="宋体" w:cs="Times New Roman"/>
                <w:kern w:val="0"/>
                <w:sz w:val="18"/>
                <w:szCs w:val="18"/>
              </w:rPr>
            </w:pPr>
            <w:r>
              <w:rPr>
                <w:rFonts w:hint="eastAsia" w:ascii="宋体" w:hAnsi="宋体" w:cs="宋体"/>
                <w:kern w:val="0"/>
                <w:sz w:val="18"/>
                <w:szCs w:val="18"/>
              </w:rPr>
              <w:t>年产</w:t>
            </w:r>
            <w:r>
              <w:rPr>
                <w:rFonts w:ascii="宋体" w:hAnsi="宋体" w:cs="宋体"/>
                <w:kern w:val="0"/>
                <w:sz w:val="18"/>
                <w:szCs w:val="18"/>
              </w:rPr>
              <w:t>500</w:t>
            </w:r>
            <w:r>
              <w:rPr>
                <w:rFonts w:hint="eastAsia" w:ascii="宋体" w:hAnsi="宋体" w:cs="宋体"/>
                <w:kern w:val="0"/>
                <w:sz w:val="18"/>
                <w:szCs w:val="18"/>
              </w:rPr>
              <w:t>台（套）新型数控装备和发电成套设备的智能制造项目</w:t>
            </w:r>
          </w:p>
        </w:tc>
        <w:tc>
          <w:tcPr>
            <w:tcW w:w="18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西电集团、特变电工</w:t>
            </w:r>
          </w:p>
        </w:tc>
        <w:tc>
          <w:tcPr>
            <w:tcW w:w="3947" w:type="dxa"/>
            <w:tcBorders>
              <w:top w:val="nil"/>
              <w:left w:val="nil"/>
              <w:bottom w:val="single" w:color="auto" w:sz="4" w:space="0"/>
              <w:right w:val="single" w:color="auto" w:sz="4" w:space="0"/>
            </w:tcBorders>
            <w:shd w:val="clear" w:color="000000" w:fill="FFFFFF"/>
            <w:vAlign w:val="center"/>
          </w:tcPr>
          <w:p>
            <w:pPr>
              <w:widowControl/>
              <w:spacing w:line="260" w:lineRule="exact"/>
              <w:jc w:val="left"/>
              <w:rPr>
                <w:rFonts w:ascii="宋体" w:cs="Times New Roman"/>
                <w:kern w:val="0"/>
                <w:sz w:val="18"/>
                <w:szCs w:val="18"/>
              </w:rPr>
            </w:pPr>
            <w:r>
              <w:rPr>
                <w:rFonts w:hint="eastAsia" w:ascii="宋体" w:hAnsi="宋体" w:cs="宋体"/>
                <w:kern w:val="0"/>
                <w:sz w:val="18"/>
                <w:szCs w:val="18"/>
              </w:rPr>
              <w:t>年产</w:t>
            </w:r>
            <w:r>
              <w:rPr>
                <w:rFonts w:ascii="宋体" w:hAnsi="宋体" w:cs="宋体"/>
                <w:kern w:val="0"/>
                <w:sz w:val="18"/>
                <w:szCs w:val="18"/>
              </w:rPr>
              <w:t>500</w:t>
            </w:r>
            <w:r>
              <w:rPr>
                <w:rFonts w:hint="eastAsia" w:ascii="宋体" w:hAnsi="宋体" w:cs="宋体"/>
                <w:kern w:val="0"/>
                <w:sz w:val="18"/>
                <w:szCs w:val="18"/>
              </w:rPr>
              <w:t>台（套）新型数控装备和发电成套设备的智能制造项目</w:t>
            </w:r>
          </w:p>
        </w:tc>
        <w:tc>
          <w:tcPr>
            <w:tcW w:w="1190"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200,000</w:t>
            </w:r>
          </w:p>
        </w:tc>
        <w:tc>
          <w:tcPr>
            <w:tcW w:w="1148"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590,000</w:t>
            </w:r>
          </w:p>
        </w:tc>
        <w:tc>
          <w:tcPr>
            <w:tcW w:w="1217"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输变电</w:t>
            </w:r>
          </w:p>
        </w:tc>
        <w:tc>
          <w:tcPr>
            <w:tcW w:w="1442"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上杭县工业园</w:t>
            </w:r>
          </w:p>
        </w:tc>
      </w:tr>
      <w:tr>
        <w:trPr>
          <w:trHeight w:val="450" w:hRule="atLeast"/>
        </w:trPr>
        <w:tc>
          <w:tcPr>
            <w:tcW w:w="560" w:type="dxa"/>
            <w:tcBorders>
              <w:top w:val="nil"/>
              <w:left w:val="single" w:color="auto" w:sz="4" w:space="0"/>
              <w:bottom w:val="single" w:color="auto" w:sz="4" w:space="0"/>
              <w:right w:val="single" w:color="auto" w:sz="4" w:space="0"/>
            </w:tcBorders>
            <w:shd w:val="clear" w:color="000000" w:fill="D9D9D9"/>
            <w:vAlign w:val="center"/>
          </w:tcPr>
          <w:p>
            <w:pPr>
              <w:widowControl/>
              <w:jc w:val="center"/>
              <w:rPr>
                <w:rFonts w:ascii="宋体" w:cs="Times New Roman"/>
                <w:b/>
                <w:bCs/>
                <w:kern w:val="0"/>
                <w:sz w:val="18"/>
                <w:szCs w:val="18"/>
              </w:rPr>
            </w:pPr>
            <w:r>
              <w:rPr>
                <w:rFonts w:ascii="宋体" w:hAnsi="宋体" w:cs="宋体"/>
                <w:b/>
                <w:bCs/>
                <w:kern w:val="0"/>
                <w:sz w:val="18"/>
                <w:szCs w:val="18"/>
              </w:rPr>
              <w:t>31</w:t>
            </w:r>
          </w:p>
        </w:tc>
        <w:tc>
          <w:tcPr>
            <w:tcW w:w="25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铜基高端合金粉末项目</w:t>
            </w:r>
          </w:p>
        </w:tc>
        <w:tc>
          <w:tcPr>
            <w:tcW w:w="18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福建鲁信新材料科技有限公司</w:t>
            </w:r>
          </w:p>
        </w:tc>
        <w:tc>
          <w:tcPr>
            <w:tcW w:w="3947"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年产</w:t>
            </w:r>
            <w:r>
              <w:rPr>
                <w:rFonts w:ascii="宋体" w:hAnsi="宋体" w:cs="宋体"/>
                <w:kern w:val="0"/>
                <w:sz w:val="18"/>
                <w:szCs w:val="18"/>
              </w:rPr>
              <w:t>6000</w:t>
            </w:r>
            <w:r>
              <w:rPr>
                <w:rFonts w:hint="eastAsia" w:ascii="宋体" w:hAnsi="宋体" w:cs="宋体"/>
                <w:kern w:val="0"/>
                <w:sz w:val="18"/>
                <w:szCs w:val="18"/>
              </w:rPr>
              <w:t>吨高端铜基合金粉末</w:t>
            </w:r>
          </w:p>
        </w:tc>
        <w:tc>
          <w:tcPr>
            <w:tcW w:w="1190"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24,000</w:t>
            </w:r>
          </w:p>
        </w:tc>
        <w:tc>
          <w:tcPr>
            <w:tcW w:w="1148"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48,000</w:t>
            </w:r>
          </w:p>
        </w:tc>
        <w:tc>
          <w:tcPr>
            <w:tcW w:w="1217"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电子信息</w:t>
            </w:r>
          </w:p>
        </w:tc>
        <w:tc>
          <w:tcPr>
            <w:tcW w:w="1442"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上杭县工业园</w:t>
            </w:r>
          </w:p>
        </w:tc>
      </w:tr>
      <w:tr>
        <w:trPr>
          <w:trHeight w:val="204" w:hRule="atLeast"/>
        </w:trPr>
        <w:tc>
          <w:tcPr>
            <w:tcW w:w="560" w:type="dxa"/>
            <w:tcBorders>
              <w:top w:val="nil"/>
              <w:left w:val="single" w:color="auto" w:sz="4" w:space="0"/>
              <w:bottom w:val="single" w:color="auto" w:sz="4" w:space="0"/>
              <w:right w:val="single" w:color="auto" w:sz="4" w:space="0"/>
            </w:tcBorders>
            <w:shd w:val="clear" w:color="000000" w:fill="D9D9D9"/>
            <w:vAlign w:val="center"/>
          </w:tcPr>
          <w:p>
            <w:pPr>
              <w:widowControl/>
              <w:jc w:val="center"/>
              <w:rPr>
                <w:rFonts w:ascii="宋体" w:cs="Times New Roman"/>
                <w:b/>
                <w:bCs/>
                <w:kern w:val="0"/>
                <w:sz w:val="18"/>
                <w:szCs w:val="18"/>
              </w:rPr>
            </w:pPr>
            <w:r>
              <w:rPr>
                <w:rFonts w:ascii="宋体" w:hAnsi="宋体" w:cs="宋体"/>
                <w:b/>
                <w:bCs/>
                <w:kern w:val="0"/>
                <w:sz w:val="18"/>
                <w:szCs w:val="18"/>
              </w:rPr>
              <w:t>32</w:t>
            </w:r>
          </w:p>
        </w:tc>
        <w:tc>
          <w:tcPr>
            <w:tcW w:w="25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年产</w:t>
            </w:r>
            <w:r>
              <w:rPr>
                <w:rFonts w:ascii="宋体" w:hAnsi="宋体" w:cs="宋体"/>
                <w:kern w:val="0"/>
                <w:sz w:val="18"/>
                <w:szCs w:val="18"/>
              </w:rPr>
              <w:t>1</w:t>
            </w:r>
            <w:r>
              <w:rPr>
                <w:rFonts w:hint="eastAsia" w:ascii="宋体" w:hAnsi="宋体" w:cs="宋体"/>
                <w:kern w:val="0"/>
                <w:sz w:val="18"/>
                <w:szCs w:val="18"/>
              </w:rPr>
              <w:t>万吨高性能铜合金带箔生产项目</w:t>
            </w:r>
          </w:p>
        </w:tc>
        <w:tc>
          <w:tcPr>
            <w:tcW w:w="18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福建紫金铜业有限公司</w:t>
            </w:r>
          </w:p>
        </w:tc>
        <w:tc>
          <w:tcPr>
            <w:tcW w:w="3947" w:type="dxa"/>
            <w:tcBorders>
              <w:top w:val="nil"/>
              <w:left w:val="nil"/>
              <w:bottom w:val="single" w:color="auto" w:sz="4" w:space="0"/>
              <w:right w:val="single" w:color="auto" w:sz="4" w:space="0"/>
            </w:tcBorders>
            <w:shd w:val="clear" w:color="000000" w:fill="FFFFFF"/>
            <w:vAlign w:val="center"/>
          </w:tcPr>
          <w:p>
            <w:pPr>
              <w:widowControl/>
              <w:spacing w:line="260" w:lineRule="exact"/>
              <w:jc w:val="left"/>
              <w:rPr>
                <w:rFonts w:ascii="宋体" w:cs="Times New Roman"/>
                <w:kern w:val="0"/>
                <w:sz w:val="18"/>
                <w:szCs w:val="18"/>
              </w:rPr>
            </w:pPr>
            <w:r>
              <w:rPr>
                <w:rFonts w:hint="eastAsia" w:ascii="宋体" w:hAnsi="宋体" w:cs="宋体"/>
                <w:kern w:val="0"/>
                <w:sz w:val="18"/>
                <w:szCs w:val="18"/>
              </w:rPr>
              <w:t>主要建筑面积</w:t>
            </w:r>
            <w:r>
              <w:rPr>
                <w:rFonts w:ascii="宋体" w:hAnsi="宋体" w:cs="宋体"/>
                <w:kern w:val="0"/>
                <w:sz w:val="18"/>
                <w:szCs w:val="18"/>
              </w:rPr>
              <w:t>63</w:t>
            </w:r>
            <w:r>
              <w:rPr>
                <w:rFonts w:hint="eastAsia" w:ascii="宋体" w:hAnsi="宋体" w:cs="宋体"/>
                <w:kern w:val="0"/>
                <w:sz w:val="18"/>
                <w:szCs w:val="18"/>
              </w:rPr>
              <w:t>亩，新建生产厂房，购置冷轧轧机</w:t>
            </w:r>
            <w:r>
              <w:rPr>
                <w:rFonts w:ascii="宋体" w:hAnsi="宋体" w:cs="宋体"/>
                <w:kern w:val="0"/>
                <w:sz w:val="18"/>
                <w:szCs w:val="18"/>
              </w:rPr>
              <w:t>1</w:t>
            </w:r>
            <w:r>
              <w:rPr>
                <w:rFonts w:hint="eastAsia" w:ascii="宋体" w:hAnsi="宋体" w:cs="宋体"/>
                <w:kern w:val="0"/>
                <w:sz w:val="18"/>
                <w:szCs w:val="18"/>
              </w:rPr>
              <w:t>台（</w:t>
            </w:r>
            <w:r>
              <w:rPr>
                <w:rFonts w:ascii="宋体" w:hAnsi="宋体" w:cs="宋体"/>
                <w:kern w:val="0"/>
                <w:sz w:val="18"/>
                <w:szCs w:val="18"/>
              </w:rPr>
              <w:t>6</w:t>
            </w:r>
            <w:r>
              <w:rPr>
                <w:rFonts w:hint="eastAsia" w:ascii="宋体" w:hAnsi="宋体" w:cs="宋体"/>
                <w:kern w:val="0"/>
                <w:sz w:val="18"/>
                <w:szCs w:val="18"/>
              </w:rPr>
              <w:t>锟）、清洗线、拉弯角设备、天然气、压缩机等配套设备共计</w:t>
            </w:r>
            <w:r>
              <w:rPr>
                <w:rFonts w:ascii="宋体" w:hAnsi="宋体" w:cs="宋体"/>
                <w:kern w:val="0"/>
                <w:sz w:val="18"/>
                <w:szCs w:val="18"/>
              </w:rPr>
              <w:t>3</w:t>
            </w:r>
            <w:r>
              <w:rPr>
                <w:rFonts w:hint="eastAsia" w:ascii="宋体" w:hAnsi="宋体" w:cs="宋体"/>
                <w:kern w:val="0"/>
                <w:sz w:val="18"/>
                <w:szCs w:val="18"/>
              </w:rPr>
              <w:t>套，建设年产</w:t>
            </w:r>
            <w:r>
              <w:rPr>
                <w:rFonts w:ascii="宋体" w:hAnsi="宋体" w:cs="宋体"/>
                <w:kern w:val="0"/>
                <w:sz w:val="18"/>
                <w:szCs w:val="18"/>
              </w:rPr>
              <w:t>1</w:t>
            </w:r>
            <w:r>
              <w:rPr>
                <w:rFonts w:hint="eastAsia" w:ascii="宋体" w:hAnsi="宋体" w:cs="宋体"/>
                <w:kern w:val="0"/>
                <w:sz w:val="18"/>
                <w:szCs w:val="18"/>
              </w:rPr>
              <w:t>万吨高性能铜合金带箔生产线</w:t>
            </w:r>
            <w:r>
              <w:rPr>
                <w:rFonts w:ascii="宋体" w:hAnsi="宋体" w:cs="宋体"/>
                <w:kern w:val="0"/>
                <w:sz w:val="18"/>
                <w:szCs w:val="18"/>
              </w:rPr>
              <w:t>3</w:t>
            </w:r>
            <w:r>
              <w:rPr>
                <w:rFonts w:hint="eastAsia" w:ascii="宋体" w:hAnsi="宋体" w:cs="宋体"/>
                <w:kern w:val="0"/>
                <w:sz w:val="18"/>
                <w:szCs w:val="18"/>
              </w:rPr>
              <w:t>条</w:t>
            </w:r>
          </w:p>
        </w:tc>
        <w:tc>
          <w:tcPr>
            <w:tcW w:w="1190"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22,000</w:t>
            </w:r>
          </w:p>
        </w:tc>
        <w:tc>
          <w:tcPr>
            <w:tcW w:w="1148"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60,000</w:t>
            </w:r>
          </w:p>
        </w:tc>
        <w:tc>
          <w:tcPr>
            <w:tcW w:w="1217"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电子信息</w:t>
            </w:r>
          </w:p>
        </w:tc>
        <w:tc>
          <w:tcPr>
            <w:tcW w:w="1442"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上杭县工业园</w:t>
            </w:r>
          </w:p>
        </w:tc>
      </w:tr>
      <w:tr>
        <w:trPr>
          <w:trHeight w:val="773" w:hRule="atLeast"/>
        </w:trPr>
        <w:tc>
          <w:tcPr>
            <w:tcW w:w="560" w:type="dxa"/>
            <w:tcBorders>
              <w:top w:val="nil"/>
              <w:left w:val="single" w:color="auto" w:sz="4" w:space="0"/>
              <w:bottom w:val="single" w:color="auto" w:sz="4" w:space="0"/>
              <w:right w:val="single" w:color="auto" w:sz="4" w:space="0"/>
            </w:tcBorders>
            <w:shd w:val="clear" w:color="000000" w:fill="D9D9D9"/>
            <w:vAlign w:val="center"/>
          </w:tcPr>
          <w:p>
            <w:pPr>
              <w:widowControl/>
              <w:jc w:val="center"/>
              <w:rPr>
                <w:rFonts w:ascii="宋体" w:cs="Times New Roman"/>
                <w:b/>
                <w:bCs/>
                <w:kern w:val="0"/>
                <w:sz w:val="18"/>
                <w:szCs w:val="18"/>
              </w:rPr>
            </w:pPr>
            <w:r>
              <w:rPr>
                <w:rFonts w:ascii="宋体" w:hAnsi="宋体" w:cs="宋体"/>
                <w:b/>
                <w:bCs/>
                <w:kern w:val="0"/>
                <w:sz w:val="18"/>
                <w:szCs w:val="18"/>
              </w:rPr>
              <w:t>33</w:t>
            </w:r>
          </w:p>
        </w:tc>
        <w:tc>
          <w:tcPr>
            <w:tcW w:w="25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高精度锂电池用电解铜箔（二期）项目</w:t>
            </w:r>
          </w:p>
        </w:tc>
        <w:tc>
          <w:tcPr>
            <w:tcW w:w="1862" w:type="dxa"/>
            <w:tcBorders>
              <w:top w:val="nil"/>
              <w:left w:val="nil"/>
              <w:bottom w:val="single" w:color="auto" w:sz="4" w:space="0"/>
              <w:right w:val="single" w:color="auto" w:sz="4" w:space="0"/>
            </w:tcBorders>
            <w:shd w:val="clear" w:color="000000" w:fill="FFFFFF"/>
            <w:vAlign w:val="center"/>
          </w:tcPr>
          <w:p>
            <w:pPr>
              <w:widowControl/>
              <w:spacing w:line="260" w:lineRule="exact"/>
              <w:jc w:val="left"/>
              <w:rPr>
                <w:rFonts w:ascii="宋体" w:cs="Times New Roman"/>
                <w:kern w:val="0"/>
                <w:sz w:val="18"/>
                <w:szCs w:val="18"/>
              </w:rPr>
            </w:pPr>
            <w:r>
              <w:rPr>
                <w:rFonts w:hint="eastAsia" w:ascii="宋体" w:hAnsi="宋体" w:cs="宋体"/>
                <w:kern w:val="0"/>
                <w:sz w:val="18"/>
                <w:szCs w:val="18"/>
              </w:rPr>
              <w:t>福建清景铜箔有限公司、诺德股份</w:t>
            </w:r>
          </w:p>
        </w:tc>
        <w:tc>
          <w:tcPr>
            <w:tcW w:w="3947"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新增年产</w:t>
            </w:r>
            <w:r>
              <w:rPr>
                <w:rFonts w:ascii="宋体" w:hAnsi="宋体" w:cs="宋体"/>
                <w:kern w:val="0"/>
                <w:sz w:val="18"/>
                <w:szCs w:val="18"/>
              </w:rPr>
              <w:t>1.5</w:t>
            </w:r>
            <w:r>
              <w:rPr>
                <w:rFonts w:hint="eastAsia" w:ascii="宋体" w:hAnsi="宋体" w:cs="宋体"/>
                <w:kern w:val="0"/>
                <w:sz w:val="18"/>
                <w:szCs w:val="18"/>
              </w:rPr>
              <w:t>万吨高精度锂电池用电解铜箔生产项目</w:t>
            </w:r>
          </w:p>
        </w:tc>
        <w:tc>
          <w:tcPr>
            <w:tcW w:w="1190"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40,000</w:t>
            </w:r>
          </w:p>
        </w:tc>
        <w:tc>
          <w:tcPr>
            <w:tcW w:w="1148"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135,000</w:t>
            </w:r>
          </w:p>
        </w:tc>
        <w:tc>
          <w:tcPr>
            <w:tcW w:w="1217"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电子信息</w:t>
            </w:r>
          </w:p>
        </w:tc>
        <w:tc>
          <w:tcPr>
            <w:tcW w:w="1442"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上杭县工业园</w:t>
            </w:r>
          </w:p>
        </w:tc>
      </w:tr>
      <w:tr>
        <w:trPr>
          <w:trHeight w:val="450" w:hRule="atLeast"/>
        </w:trPr>
        <w:tc>
          <w:tcPr>
            <w:tcW w:w="560" w:type="dxa"/>
            <w:tcBorders>
              <w:top w:val="nil"/>
              <w:left w:val="single" w:color="auto" w:sz="4" w:space="0"/>
              <w:bottom w:val="single" w:color="auto" w:sz="4" w:space="0"/>
              <w:right w:val="single" w:color="auto" w:sz="4" w:space="0"/>
            </w:tcBorders>
            <w:shd w:val="clear" w:color="000000" w:fill="D9D9D9"/>
            <w:vAlign w:val="center"/>
          </w:tcPr>
          <w:p>
            <w:pPr>
              <w:widowControl/>
              <w:jc w:val="center"/>
              <w:rPr>
                <w:rFonts w:ascii="宋体" w:cs="Times New Roman"/>
                <w:b/>
                <w:bCs/>
                <w:kern w:val="0"/>
                <w:sz w:val="18"/>
                <w:szCs w:val="18"/>
              </w:rPr>
            </w:pPr>
            <w:r>
              <w:rPr>
                <w:rFonts w:ascii="宋体" w:hAnsi="宋体" w:cs="宋体"/>
                <w:b/>
                <w:bCs/>
                <w:kern w:val="0"/>
                <w:sz w:val="18"/>
                <w:szCs w:val="18"/>
              </w:rPr>
              <w:t>34</w:t>
            </w:r>
          </w:p>
        </w:tc>
        <w:tc>
          <w:tcPr>
            <w:tcW w:w="25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高强中导抗磁性高精铜板带项目</w:t>
            </w:r>
          </w:p>
        </w:tc>
        <w:tc>
          <w:tcPr>
            <w:tcW w:w="18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福建紫金铜业有限公司</w:t>
            </w:r>
          </w:p>
        </w:tc>
        <w:tc>
          <w:tcPr>
            <w:tcW w:w="3947"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年产</w:t>
            </w:r>
            <w:r>
              <w:rPr>
                <w:rFonts w:ascii="宋体" w:hAnsi="宋体" w:cs="宋体"/>
                <w:kern w:val="0"/>
                <w:sz w:val="18"/>
                <w:szCs w:val="18"/>
              </w:rPr>
              <w:t>2</w:t>
            </w:r>
            <w:r>
              <w:rPr>
                <w:rFonts w:hint="eastAsia" w:ascii="宋体" w:hAnsi="宋体" w:cs="宋体"/>
                <w:kern w:val="0"/>
                <w:sz w:val="18"/>
                <w:szCs w:val="18"/>
              </w:rPr>
              <w:t>万吨铜铁合金板带项目</w:t>
            </w:r>
          </w:p>
        </w:tc>
        <w:tc>
          <w:tcPr>
            <w:tcW w:w="1190"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20,000</w:t>
            </w:r>
          </w:p>
        </w:tc>
        <w:tc>
          <w:tcPr>
            <w:tcW w:w="1148"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130,000</w:t>
            </w:r>
          </w:p>
        </w:tc>
        <w:tc>
          <w:tcPr>
            <w:tcW w:w="1217"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电子信息</w:t>
            </w:r>
          </w:p>
        </w:tc>
        <w:tc>
          <w:tcPr>
            <w:tcW w:w="1442"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上杭县工业园</w:t>
            </w:r>
          </w:p>
        </w:tc>
      </w:tr>
      <w:tr>
        <w:trPr>
          <w:trHeight w:val="450" w:hRule="atLeast"/>
        </w:trPr>
        <w:tc>
          <w:tcPr>
            <w:tcW w:w="560" w:type="dxa"/>
            <w:tcBorders>
              <w:top w:val="nil"/>
              <w:left w:val="single" w:color="auto" w:sz="4" w:space="0"/>
              <w:bottom w:val="single" w:color="auto" w:sz="4" w:space="0"/>
              <w:right w:val="single" w:color="auto" w:sz="4" w:space="0"/>
            </w:tcBorders>
            <w:shd w:val="clear" w:color="000000" w:fill="D9D9D9"/>
            <w:vAlign w:val="center"/>
          </w:tcPr>
          <w:p>
            <w:pPr>
              <w:widowControl/>
              <w:jc w:val="center"/>
              <w:rPr>
                <w:rFonts w:ascii="宋体" w:cs="Times New Roman"/>
                <w:b/>
                <w:bCs/>
                <w:kern w:val="0"/>
                <w:sz w:val="18"/>
                <w:szCs w:val="18"/>
              </w:rPr>
            </w:pPr>
            <w:r>
              <w:rPr>
                <w:rFonts w:ascii="宋体" w:hAnsi="宋体" w:cs="宋体"/>
                <w:b/>
                <w:bCs/>
                <w:kern w:val="0"/>
                <w:sz w:val="18"/>
                <w:szCs w:val="18"/>
              </w:rPr>
              <w:t>35</w:t>
            </w:r>
          </w:p>
        </w:tc>
        <w:tc>
          <w:tcPr>
            <w:tcW w:w="25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铜板带镀锡项目</w:t>
            </w:r>
          </w:p>
        </w:tc>
        <w:tc>
          <w:tcPr>
            <w:tcW w:w="18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福建紫金铜业有限公司</w:t>
            </w:r>
          </w:p>
        </w:tc>
        <w:tc>
          <w:tcPr>
            <w:tcW w:w="3947"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年产</w:t>
            </w:r>
            <w:r>
              <w:rPr>
                <w:rFonts w:ascii="宋体" w:hAnsi="宋体" w:cs="宋体"/>
                <w:kern w:val="0"/>
                <w:sz w:val="18"/>
                <w:szCs w:val="18"/>
              </w:rPr>
              <w:t>2</w:t>
            </w:r>
            <w:r>
              <w:rPr>
                <w:rFonts w:hint="eastAsia" w:ascii="宋体" w:hAnsi="宋体" w:cs="宋体"/>
                <w:kern w:val="0"/>
                <w:sz w:val="18"/>
                <w:szCs w:val="18"/>
              </w:rPr>
              <w:t>万吨锡磷青铜高精带材表面热镀锡技术项目</w:t>
            </w:r>
          </w:p>
        </w:tc>
        <w:tc>
          <w:tcPr>
            <w:tcW w:w="1190"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20,000</w:t>
            </w:r>
          </w:p>
        </w:tc>
        <w:tc>
          <w:tcPr>
            <w:tcW w:w="1148"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114,000</w:t>
            </w:r>
          </w:p>
        </w:tc>
        <w:tc>
          <w:tcPr>
            <w:tcW w:w="1217"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电子信息</w:t>
            </w:r>
          </w:p>
        </w:tc>
        <w:tc>
          <w:tcPr>
            <w:tcW w:w="1442"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上杭县工业园</w:t>
            </w:r>
          </w:p>
        </w:tc>
      </w:tr>
      <w:tr>
        <w:trPr>
          <w:trHeight w:val="450" w:hRule="atLeast"/>
        </w:trPr>
        <w:tc>
          <w:tcPr>
            <w:tcW w:w="560" w:type="dxa"/>
            <w:tcBorders>
              <w:top w:val="nil"/>
              <w:left w:val="single" w:color="auto" w:sz="4" w:space="0"/>
              <w:bottom w:val="single" w:color="auto" w:sz="4" w:space="0"/>
              <w:right w:val="single" w:color="auto" w:sz="4" w:space="0"/>
            </w:tcBorders>
            <w:shd w:val="clear" w:color="000000" w:fill="D9D9D9"/>
            <w:vAlign w:val="center"/>
          </w:tcPr>
          <w:p>
            <w:pPr>
              <w:widowControl/>
              <w:jc w:val="center"/>
              <w:rPr>
                <w:rFonts w:ascii="宋体" w:cs="Times New Roman"/>
                <w:b/>
                <w:bCs/>
                <w:kern w:val="0"/>
                <w:sz w:val="18"/>
                <w:szCs w:val="18"/>
              </w:rPr>
            </w:pPr>
            <w:r>
              <w:rPr>
                <w:rFonts w:ascii="宋体" w:hAnsi="宋体" w:cs="宋体"/>
                <w:b/>
                <w:bCs/>
                <w:kern w:val="0"/>
                <w:sz w:val="18"/>
                <w:szCs w:val="18"/>
              </w:rPr>
              <w:t>36</w:t>
            </w:r>
          </w:p>
        </w:tc>
        <w:tc>
          <w:tcPr>
            <w:tcW w:w="25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汽车线束生产扩建项目</w:t>
            </w:r>
          </w:p>
        </w:tc>
        <w:tc>
          <w:tcPr>
            <w:tcW w:w="18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福建上杭志成电子实业有限公司</w:t>
            </w:r>
          </w:p>
        </w:tc>
        <w:tc>
          <w:tcPr>
            <w:tcW w:w="3947" w:type="dxa"/>
            <w:tcBorders>
              <w:top w:val="nil"/>
              <w:left w:val="nil"/>
              <w:bottom w:val="single" w:color="auto" w:sz="4" w:space="0"/>
              <w:right w:val="single" w:color="auto" w:sz="4" w:space="0"/>
            </w:tcBorders>
            <w:shd w:val="clear" w:color="000000" w:fill="FFFFFF"/>
            <w:vAlign w:val="center"/>
          </w:tcPr>
          <w:p>
            <w:pPr>
              <w:widowControl/>
              <w:spacing w:line="260" w:lineRule="exact"/>
              <w:jc w:val="left"/>
              <w:rPr>
                <w:rFonts w:ascii="宋体" w:cs="Times New Roman"/>
                <w:kern w:val="0"/>
                <w:sz w:val="18"/>
                <w:szCs w:val="18"/>
              </w:rPr>
            </w:pPr>
            <w:r>
              <w:rPr>
                <w:rFonts w:hint="eastAsia" w:ascii="宋体" w:hAnsi="宋体" w:cs="宋体"/>
                <w:kern w:val="0"/>
                <w:sz w:val="18"/>
                <w:szCs w:val="18"/>
              </w:rPr>
              <w:t>东莞志业电子的线束产线搬迁至上杭，扩建汽车线束生产项目。</w:t>
            </w:r>
          </w:p>
        </w:tc>
        <w:tc>
          <w:tcPr>
            <w:tcW w:w="1190"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5,000</w:t>
            </w:r>
          </w:p>
        </w:tc>
        <w:tc>
          <w:tcPr>
            <w:tcW w:w="1148"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8,000</w:t>
            </w:r>
          </w:p>
        </w:tc>
        <w:tc>
          <w:tcPr>
            <w:tcW w:w="1217"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电子信息</w:t>
            </w:r>
          </w:p>
        </w:tc>
        <w:tc>
          <w:tcPr>
            <w:tcW w:w="1442"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上杭县工业园</w:t>
            </w:r>
          </w:p>
        </w:tc>
      </w:tr>
      <w:tr>
        <w:trPr>
          <w:trHeight w:val="450" w:hRule="atLeast"/>
        </w:trPr>
        <w:tc>
          <w:tcPr>
            <w:tcW w:w="560" w:type="dxa"/>
            <w:tcBorders>
              <w:top w:val="nil"/>
              <w:left w:val="single" w:color="auto" w:sz="4" w:space="0"/>
              <w:bottom w:val="single" w:color="auto" w:sz="4" w:space="0"/>
              <w:right w:val="single" w:color="auto" w:sz="4" w:space="0"/>
            </w:tcBorders>
            <w:shd w:val="clear" w:color="000000" w:fill="D9D9D9"/>
            <w:vAlign w:val="center"/>
          </w:tcPr>
          <w:p>
            <w:pPr>
              <w:widowControl/>
              <w:jc w:val="center"/>
              <w:rPr>
                <w:rFonts w:ascii="宋体" w:cs="Times New Roman"/>
                <w:b/>
                <w:bCs/>
                <w:kern w:val="0"/>
                <w:sz w:val="18"/>
                <w:szCs w:val="18"/>
              </w:rPr>
            </w:pPr>
            <w:r>
              <w:rPr>
                <w:rFonts w:ascii="宋体" w:hAnsi="宋体" w:cs="宋体"/>
                <w:b/>
                <w:bCs/>
                <w:kern w:val="0"/>
                <w:sz w:val="18"/>
                <w:szCs w:val="18"/>
              </w:rPr>
              <w:t>37</w:t>
            </w:r>
          </w:p>
        </w:tc>
        <w:tc>
          <w:tcPr>
            <w:tcW w:w="25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手机数据线生产项目</w:t>
            </w:r>
          </w:p>
        </w:tc>
        <w:tc>
          <w:tcPr>
            <w:tcW w:w="18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上杭添龙电子科技有限公司</w:t>
            </w:r>
          </w:p>
        </w:tc>
        <w:tc>
          <w:tcPr>
            <w:tcW w:w="3947"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建设年产</w:t>
            </w:r>
            <w:r>
              <w:rPr>
                <w:rFonts w:ascii="宋体" w:hAnsi="宋体" w:cs="宋体"/>
                <w:kern w:val="0"/>
                <w:sz w:val="18"/>
                <w:szCs w:val="18"/>
              </w:rPr>
              <w:t>2000</w:t>
            </w:r>
            <w:r>
              <w:rPr>
                <w:rFonts w:hint="eastAsia" w:ascii="宋体" w:hAnsi="宋体" w:cs="宋体"/>
                <w:kern w:val="0"/>
                <w:sz w:val="18"/>
                <w:szCs w:val="18"/>
              </w:rPr>
              <w:t>万条各种规格型号手机数据线、连接线生产线</w:t>
            </w:r>
          </w:p>
        </w:tc>
        <w:tc>
          <w:tcPr>
            <w:tcW w:w="1190"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2,000</w:t>
            </w:r>
          </w:p>
        </w:tc>
        <w:tc>
          <w:tcPr>
            <w:tcW w:w="1148"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2,500</w:t>
            </w:r>
          </w:p>
        </w:tc>
        <w:tc>
          <w:tcPr>
            <w:tcW w:w="1217"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电子信息</w:t>
            </w:r>
          </w:p>
        </w:tc>
        <w:tc>
          <w:tcPr>
            <w:tcW w:w="1442"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上杭县工业园</w:t>
            </w:r>
          </w:p>
        </w:tc>
      </w:tr>
      <w:tr>
        <w:trPr>
          <w:trHeight w:val="450" w:hRule="atLeast"/>
        </w:trPr>
        <w:tc>
          <w:tcPr>
            <w:tcW w:w="560" w:type="dxa"/>
            <w:tcBorders>
              <w:top w:val="nil"/>
              <w:left w:val="single" w:color="auto" w:sz="4" w:space="0"/>
              <w:bottom w:val="single" w:color="auto" w:sz="4" w:space="0"/>
              <w:right w:val="single" w:color="auto" w:sz="4" w:space="0"/>
            </w:tcBorders>
            <w:shd w:val="clear" w:color="000000" w:fill="D9D9D9"/>
            <w:vAlign w:val="center"/>
          </w:tcPr>
          <w:p>
            <w:pPr>
              <w:widowControl/>
              <w:jc w:val="center"/>
              <w:rPr>
                <w:rFonts w:ascii="宋体" w:cs="Times New Roman"/>
                <w:b/>
                <w:bCs/>
                <w:kern w:val="0"/>
                <w:sz w:val="18"/>
                <w:szCs w:val="18"/>
              </w:rPr>
            </w:pPr>
            <w:r>
              <w:rPr>
                <w:rFonts w:ascii="宋体" w:hAnsi="宋体" w:cs="宋体"/>
                <w:b/>
                <w:bCs/>
                <w:kern w:val="0"/>
                <w:sz w:val="18"/>
                <w:szCs w:val="18"/>
              </w:rPr>
              <w:t>38</w:t>
            </w:r>
          </w:p>
        </w:tc>
        <w:tc>
          <w:tcPr>
            <w:tcW w:w="25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手机数据线生产项目</w:t>
            </w:r>
          </w:p>
        </w:tc>
        <w:tc>
          <w:tcPr>
            <w:tcW w:w="18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上杭乐沪科技有限公司</w:t>
            </w:r>
          </w:p>
        </w:tc>
        <w:tc>
          <w:tcPr>
            <w:tcW w:w="3947"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年产</w:t>
            </w:r>
            <w:r>
              <w:rPr>
                <w:rFonts w:ascii="宋体" w:hAnsi="宋体" w:cs="宋体"/>
                <w:kern w:val="0"/>
                <w:sz w:val="18"/>
                <w:szCs w:val="18"/>
              </w:rPr>
              <w:t>3000</w:t>
            </w:r>
            <w:r>
              <w:rPr>
                <w:rFonts w:hint="eastAsia" w:ascii="宋体" w:hAnsi="宋体" w:cs="宋体"/>
                <w:kern w:val="0"/>
                <w:sz w:val="18"/>
                <w:szCs w:val="18"/>
              </w:rPr>
              <w:t>万条各种规格型号手机数据线、充电线、连接线、线束生产能力。</w:t>
            </w:r>
          </w:p>
        </w:tc>
        <w:tc>
          <w:tcPr>
            <w:tcW w:w="1190"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6,000</w:t>
            </w:r>
          </w:p>
        </w:tc>
        <w:tc>
          <w:tcPr>
            <w:tcW w:w="1148"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4,000</w:t>
            </w:r>
          </w:p>
        </w:tc>
        <w:tc>
          <w:tcPr>
            <w:tcW w:w="1217"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电子信息</w:t>
            </w:r>
          </w:p>
        </w:tc>
        <w:tc>
          <w:tcPr>
            <w:tcW w:w="1442"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上杭县工业园</w:t>
            </w:r>
          </w:p>
        </w:tc>
      </w:tr>
      <w:tr>
        <w:trPr>
          <w:trHeight w:val="900" w:hRule="atLeast"/>
        </w:trPr>
        <w:tc>
          <w:tcPr>
            <w:tcW w:w="560" w:type="dxa"/>
            <w:tcBorders>
              <w:top w:val="nil"/>
              <w:left w:val="single" w:color="auto" w:sz="4" w:space="0"/>
              <w:bottom w:val="single" w:color="auto" w:sz="4" w:space="0"/>
              <w:right w:val="single" w:color="auto" w:sz="4" w:space="0"/>
            </w:tcBorders>
            <w:shd w:val="clear" w:color="000000" w:fill="D9D9D9"/>
            <w:vAlign w:val="center"/>
          </w:tcPr>
          <w:p>
            <w:pPr>
              <w:widowControl/>
              <w:jc w:val="center"/>
              <w:rPr>
                <w:rFonts w:ascii="宋体" w:cs="Times New Roman"/>
                <w:b/>
                <w:bCs/>
                <w:kern w:val="0"/>
                <w:sz w:val="18"/>
                <w:szCs w:val="18"/>
              </w:rPr>
            </w:pPr>
            <w:r>
              <w:rPr>
                <w:rFonts w:ascii="宋体" w:hAnsi="宋体" w:cs="宋体"/>
                <w:b/>
                <w:bCs/>
                <w:kern w:val="0"/>
                <w:sz w:val="18"/>
                <w:szCs w:val="18"/>
              </w:rPr>
              <w:t>39</w:t>
            </w:r>
          </w:p>
        </w:tc>
        <w:tc>
          <w:tcPr>
            <w:tcW w:w="25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润发</w:t>
            </w:r>
            <w:r>
              <w:rPr>
                <w:rFonts w:ascii="宋体" w:hAnsi="宋体" w:cs="宋体"/>
                <w:kern w:val="0"/>
                <w:sz w:val="18"/>
                <w:szCs w:val="18"/>
              </w:rPr>
              <w:t>PVC</w:t>
            </w:r>
            <w:r>
              <w:rPr>
                <w:rFonts w:hint="eastAsia" w:ascii="宋体" w:hAnsi="宋体" w:cs="宋体"/>
                <w:kern w:val="0"/>
                <w:sz w:val="18"/>
                <w:szCs w:val="18"/>
              </w:rPr>
              <w:t>电子线、电源线、橡胶线等线材生产项目</w:t>
            </w:r>
          </w:p>
        </w:tc>
        <w:tc>
          <w:tcPr>
            <w:tcW w:w="18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上杭润发电子科技有限公司</w:t>
            </w:r>
          </w:p>
        </w:tc>
        <w:tc>
          <w:tcPr>
            <w:tcW w:w="3947" w:type="dxa"/>
            <w:tcBorders>
              <w:top w:val="nil"/>
              <w:left w:val="nil"/>
              <w:bottom w:val="single" w:color="auto" w:sz="4" w:space="0"/>
              <w:right w:val="single" w:color="auto" w:sz="4" w:space="0"/>
            </w:tcBorders>
            <w:shd w:val="clear" w:color="000000" w:fill="FFFFFF"/>
            <w:vAlign w:val="center"/>
          </w:tcPr>
          <w:p>
            <w:pPr>
              <w:widowControl/>
              <w:spacing w:line="260" w:lineRule="exact"/>
              <w:jc w:val="left"/>
              <w:rPr>
                <w:rFonts w:ascii="宋体" w:cs="Times New Roman"/>
                <w:kern w:val="0"/>
                <w:sz w:val="18"/>
                <w:szCs w:val="18"/>
              </w:rPr>
            </w:pPr>
            <w:r>
              <w:rPr>
                <w:rFonts w:hint="eastAsia" w:ascii="宋体" w:hAnsi="宋体" w:cs="宋体"/>
                <w:kern w:val="0"/>
                <w:sz w:val="18"/>
                <w:szCs w:val="18"/>
              </w:rPr>
              <w:t>项目租赁</w:t>
            </w:r>
            <w:r>
              <w:rPr>
                <w:rFonts w:ascii="宋体" w:hAnsi="宋体" w:cs="宋体"/>
                <w:kern w:val="0"/>
                <w:sz w:val="18"/>
                <w:szCs w:val="18"/>
              </w:rPr>
              <w:t>8000</w:t>
            </w:r>
            <w:r>
              <w:rPr>
                <w:rFonts w:hint="eastAsia" w:ascii="宋体" w:hAnsi="宋体" w:cs="宋体"/>
                <w:kern w:val="0"/>
                <w:sz w:val="18"/>
                <w:szCs w:val="18"/>
              </w:rPr>
              <w:t>平方米标准厂房，建设综合办公室、实验室、仓库、</w:t>
            </w:r>
            <w:r>
              <w:rPr>
                <w:rFonts w:ascii="宋体" w:hAnsi="宋体" w:cs="宋体"/>
                <w:kern w:val="0"/>
                <w:sz w:val="18"/>
                <w:szCs w:val="18"/>
              </w:rPr>
              <w:t>PVC</w:t>
            </w:r>
            <w:r>
              <w:rPr>
                <w:rFonts w:hint="eastAsia" w:ascii="宋体" w:hAnsi="宋体" w:cs="宋体"/>
                <w:kern w:val="0"/>
                <w:sz w:val="18"/>
                <w:szCs w:val="18"/>
              </w:rPr>
              <w:t>电子线、电源线、橡胶线生产车间、</w:t>
            </w:r>
            <w:r>
              <w:rPr>
                <w:rFonts w:ascii="宋体" w:hAnsi="宋体" w:cs="宋体"/>
                <w:kern w:val="0"/>
                <w:sz w:val="18"/>
                <w:szCs w:val="18"/>
              </w:rPr>
              <w:t>AC/DC</w:t>
            </w:r>
            <w:r>
              <w:rPr>
                <w:rFonts w:hint="eastAsia" w:ascii="宋体" w:hAnsi="宋体" w:cs="宋体"/>
                <w:kern w:val="0"/>
                <w:sz w:val="18"/>
                <w:szCs w:val="18"/>
              </w:rPr>
              <w:t>电源线及线束生产车间、智能排插生产车间</w:t>
            </w:r>
          </w:p>
        </w:tc>
        <w:tc>
          <w:tcPr>
            <w:tcW w:w="1190"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3,500</w:t>
            </w:r>
          </w:p>
        </w:tc>
        <w:tc>
          <w:tcPr>
            <w:tcW w:w="1148"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hint="eastAsia" w:ascii="宋体" w:hAnsi="宋体" w:cs="宋体"/>
                <w:kern w:val="0"/>
                <w:sz w:val="18"/>
                <w:szCs w:val="18"/>
              </w:rPr>
              <w:t>　</w:t>
            </w:r>
          </w:p>
        </w:tc>
        <w:tc>
          <w:tcPr>
            <w:tcW w:w="1217"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电子信息</w:t>
            </w:r>
          </w:p>
        </w:tc>
        <w:tc>
          <w:tcPr>
            <w:tcW w:w="1442"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上杭县工业园</w:t>
            </w:r>
          </w:p>
        </w:tc>
      </w:tr>
      <w:tr>
        <w:trPr>
          <w:trHeight w:val="1575" w:hRule="atLeast"/>
        </w:trPr>
        <w:tc>
          <w:tcPr>
            <w:tcW w:w="560" w:type="dxa"/>
            <w:tcBorders>
              <w:top w:val="nil"/>
              <w:left w:val="single" w:color="auto" w:sz="4" w:space="0"/>
              <w:bottom w:val="single" w:color="auto" w:sz="4" w:space="0"/>
              <w:right w:val="single" w:color="auto" w:sz="4" w:space="0"/>
            </w:tcBorders>
            <w:shd w:val="clear" w:color="000000" w:fill="D9D9D9"/>
            <w:vAlign w:val="center"/>
          </w:tcPr>
          <w:p>
            <w:pPr>
              <w:widowControl/>
              <w:jc w:val="center"/>
              <w:rPr>
                <w:rFonts w:ascii="宋体" w:cs="Times New Roman"/>
                <w:b/>
                <w:bCs/>
                <w:kern w:val="0"/>
                <w:sz w:val="18"/>
                <w:szCs w:val="18"/>
              </w:rPr>
            </w:pPr>
            <w:r>
              <w:rPr>
                <w:rFonts w:ascii="宋体" w:hAnsi="宋体" w:cs="宋体"/>
                <w:b/>
                <w:bCs/>
                <w:kern w:val="0"/>
                <w:sz w:val="18"/>
                <w:szCs w:val="18"/>
              </w:rPr>
              <w:t>40</w:t>
            </w:r>
          </w:p>
        </w:tc>
        <w:tc>
          <w:tcPr>
            <w:tcW w:w="25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中昊光电半导体先进光源模组及其健康智能应用产品规模化项目</w:t>
            </w:r>
          </w:p>
        </w:tc>
        <w:tc>
          <w:tcPr>
            <w:tcW w:w="18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佛山中昊光电科技有限公司</w:t>
            </w:r>
          </w:p>
        </w:tc>
        <w:tc>
          <w:tcPr>
            <w:tcW w:w="3947" w:type="dxa"/>
            <w:tcBorders>
              <w:top w:val="nil"/>
              <w:left w:val="nil"/>
              <w:bottom w:val="single" w:color="auto" w:sz="4" w:space="0"/>
              <w:right w:val="single" w:color="auto" w:sz="4" w:space="0"/>
            </w:tcBorders>
            <w:shd w:val="clear" w:color="000000" w:fill="FFFFFF"/>
            <w:vAlign w:val="center"/>
          </w:tcPr>
          <w:p>
            <w:pPr>
              <w:widowControl/>
              <w:spacing w:line="260" w:lineRule="exact"/>
              <w:jc w:val="left"/>
              <w:rPr>
                <w:rFonts w:ascii="宋体" w:cs="Times New Roman"/>
                <w:kern w:val="0"/>
                <w:sz w:val="18"/>
                <w:szCs w:val="18"/>
              </w:rPr>
            </w:pPr>
            <w:r>
              <w:rPr>
                <w:rFonts w:hint="eastAsia" w:ascii="宋体" w:hAnsi="宋体" w:cs="宋体"/>
                <w:kern w:val="0"/>
                <w:sz w:val="18"/>
                <w:szCs w:val="18"/>
              </w:rPr>
              <w:t>主要建筑面积</w:t>
            </w:r>
            <w:r>
              <w:rPr>
                <w:rFonts w:ascii="宋体" w:hAnsi="宋体" w:cs="宋体"/>
                <w:kern w:val="0"/>
                <w:sz w:val="18"/>
                <w:szCs w:val="18"/>
              </w:rPr>
              <w:t>8000</w:t>
            </w:r>
            <w:r>
              <w:rPr>
                <w:rFonts w:hint="eastAsia" w:ascii="宋体" w:hAnsi="宋体" w:cs="宋体"/>
                <w:kern w:val="0"/>
                <w:sz w:val="18"/>
                <w:szCs w:val="18"/>
              </w:rPr>
              <w:t>平方米。新建十万级以上洁净厂房及办公楼装修，配套建设电力系统、空调系统、纯水系统、特气系统，购置规模化智能制造设备。建设</w:t>
            </w:r>
            <w:r>
              <w:rPr>
                <w:rFonts w:ascii="宋体" w:hAnsi="宋体" w:cs="宋体"/>
                <w:kern w:val="0"/>
                <w:sz w:val="18"/>
                <w:szCs w:val="18"/>
              </w:rPr>
              <w:t>4</w:t>
            </w:r>
            <w:r>
              <w:rPr>
                <w:rFonts w:hint="eastAsia" w:ascii="宋体" w:hAnsi="宋体" w:cs="宋体"/>
                <w:kern w:val="0"/>
                <w:sz w:val="18"/>
                <w:szCs w:val="18"/>
              </w:rPr>
              <w:t>寸晶圆及芯片生产线</w:t>
            </w:r>
            <w:r>
              <w:rPr>
                <w:rFonts w:ascii="宋体" w:hAnsi="宋体" w:cs="宋体"/>
                <w:kern w:val="0"/>
                <w:sz w:val="18"/>
                <w:szCs w:val="18"/>
              </w:rPr>
              <w:t>1</w:t>
            </w:r>
            <w:r>
              <w:rPr>
                <w:rFonts w:hint="eastAsia" w:ascii="宋体" w:hAnsi="宋体" w:cs="宋体"/>
                <w:kern w:val="0"/>
                <w:sz w:val="18"/>
                <w:szCs w:val="18"/>
              </w:rPr>
              <w:t>条及</w:t>
            </w:r>
            <w:r>
              <w:rPr>
                <w:rFonts w:ascii="宋体" w:hAnsi="宋体" w:cs="宋体"/>
                <w:kern w:val="0"/>
                <w:sz w:val="18"/>
                <w:szCs w:val="18"/>
              </w:rPr>
              <w:t>300</w:t>
            </w:r>
            <w:r>
              <w:rPr>
                <w:rFonts w:hint="eastAsia" w:ascii="宋体" w:hAnsi="宋体" w:cs="宋体"/>
                <w:kern w:val="0"/>
                <w:sz w:val="18"/>
                <w:szCs w:val="18"/>
              </w:rPr>
              <w:t>条倒装</w:t>
            </w:r>
            <w:r>
              <w:rPr>
                <w:rFonts w:ascii="宋体" w:hAnsi="宋体" w:cs="宋体"/>
                <w:kern w:val="0"/>
                <w:sz w:val="18"/>
                <w:szCs w:val="18"/>
              </w:rPr>
              <w:t>COB/MiniCOB</w:t>
            </w:r>
            <w:r>
              <w:rPr>
                <w:rFonts w:hint="eastAsia" w:ascii="宋体" w:hAnsi="宋体" w:cs="宋体"/>
                <w:kern w:val="0"/>
                <w:sz w:val="18"/>
                <w:szCs w:val="18"/>
              </w:rPr>
              <w:t>模组自动生产线，建设年产</w:t>
            </w:r>
            <w:r>
              <w:rPr>
                <w:rFonts w:ascii="宋体" w:hAnsi="宋体" w:cs="宋体"/>
                <w:kern w:val="0"/>
                <w:sz w:val="18"/>
                <w:szCs w:val="18"/>
              </w:rPr>
              <w:t>6</w:t>
            </w:r>
            <w:r>
              <w:rPr>
                <w:rFonts w:hint="eastAsia" w:ascii="宋体" w:hAnsi="宋体" w:cs="宋体"/>
                <w:kern w:val="0"/>
                <w:sz w:val="18"/>
                <w:szCs w:val="18"/>
              </w:rPr>
              <w:t>万片</w:t>
            </w:r>
            <w:r>
              <w:rPr>
                <w:rFonts w:ascii="宋体" w:hAnsi="宋体" w:cs="宋体"/>
                <w:kern w:val="0"/>
                <w:sz w:val="18"/>
                <w:szCs w:val="18"/>
              </w:rPr>
              <w:t>4</w:t>
            </w:r>
            <w:r>
              <w:rPr>
                <w:rFonts w:hint="eastAsia" w:ascii="宋体" w:hAnsi="宋体" w:cs="宋体"/>
                <w:kern w:val="0"/>
                <w:sz w:val="18"/>
                <w:szCs w:val="18"/>
              </w:rPr>
              <w:t>寸晶圆及芯片</w:t>
            </w:r>
          </w:p>
        </w:tc>
        <w:tc>
          <w:tcPr>
            <w:tcW w:w="1190"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30,000</w:t>
            </w:r>
          </w:p>
        </w:tc>
        <w:tc>
          <w:tcPr>
            <w:tcW w:w="1148"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hint="eastAsia" w:ascii="宋体" w:hAnsi="宋体" w:cs="宋体"/>
                <w:kern w:val="0"/>
                <w:sz w:val="18"/>
                <w:szCs w:val="18"/>
              </w:rPr>
              <w:t>　</w:t>
            </w:r>
          </w:p>
        </w:tc>
        <w:tc>
          <w:tcPr>
            <w:tcW w:w="1217"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电子信息</w:t>
            </w:r>
          </w:p>
        </w:tc>
        <w:tc>
          <w:tcPr>
            <w:tcW w:w="1442"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上杭县工业园</w:t>
            </w:r>
          </w:p>
        </w:tc>
      </w:tr>
      <w:tr>
        <w:trPr>
          <w:trHeight w:val="675" w:hRule="atLeast"/>
        </w:trPr>
        <w:tc>
          <w:tcPr>
            <w:tcW w:w="560" w:type="dxa"/>
            <w:tcBorders>
              <w:top w:val="nil"/>
              <w:left w:val="single" w:color="auto" w:sz="4" w:space="0"/>
              <w:bottom w:val="single" w:color="auto" w:sz="4" w:space="0"/>
              <w:right w:val="single" w:color="auto" w:sz="4" w:space="0"/>
            </w:tcBorders>
            <w:shd w:val="clear" w:color="000000" w:fill="D9D9D9"/>
            <w:vAlign w:val="center"/>
          </w:tcPr>
          <w:p>
            <w:pPr>
              <w:widowControl/>
              <w:jc w:val="center"/>
              <w:rPr>
                <w:rFonts w:ascii="宋体" w:cs="Times New Roman"/>
                <w:b/>
                <w:bCs/>
                <w:kern w:val="0"/>
                <w:sz w:val="18"/>
                <w:szCs w:val="18"/>
              </w:rPr>
            </w:pPr>
            <w:r>
              <w:rPr>
                <w:rFonts w:ascii="宋体" w:hAnsi="宋体" w:cs="宋体"/>
                <w:b/>
                <w:bCs/>
                <w:kern w:val="0"/>
                <w:sz w:val="18"/>
                <w:szCs w:val="18"/>
              </w:rPr>
              <w:t>41</w:t>
            </w:r>
          </w:p>
        </w:tc>
        <w:tc>
          <w:tcPr>
            <w:tcW w:w="25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半导体芯片及光源模组生产项目</w:t>
            </w:r>
          </w:p>
        </w:tc>
        <w:tc>
          <w:tcPr>
            <w:tcW w:w="18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佛山市中昊光电科技有限公司</w:t>
            </w:r>
          </w:p>
        </w:tc>
        <w:tc>
          <w:tcPr>
            <w:tcW w:w="3947" w:type="dxa"/>
            <w:tcBorders>
              <w:top w:val="nil"/>
              <w:left w:val="nil"/>
              <w:bottom w:val="single" w:color="auto" w:sz="4" w:space="0"/>
              <w:right w:val="single" w:color="auto" w:sz="4" w:space="0"/>
            </w:tcBorders>
            <w:shd w:val="clear" w:color="000000" w:fill="FFFFFF"/>
            <w:vAlign w:val="center"/>
          </w:tcPr>
          <w:p>
            <w:pPr>
              <w:widowControl/>
              <w:spacing w:line="260" w:lineRule="exact"/>
              <w:jc w:val="left"/>
              <w:rPr>
                <w:rFonts w:ascii="宋体" w:cs="Times New Roman"/>
                <w:kern w:val="0"/>
                <w:sz w:val="18"/>
                <w:szCs w:val="18"/>
              </w:rPr>
            </w:pPr>
            <w:r>
              <w:rPr>
                <w:rFonts w:hint="eastAsia" w:ascii="宋体" w:hAnsi="宋体" w:cs="宋体"/>
                <w:kern w:val="0"/>
                <w:sz w:val="18"/>
                <w:szCs w:val="18"/>
              </w:rPr>
              <w:t>项目租赁约</w:t>
            </w:r>
            <w:r>
              <w:rPr>
                <w:rFonts w:ascii="宋体" w:hAnsi="宋体" w:cs="宋体"/>
                <w:kern w:val="0"/>
                <w:sz w:val="18"/>
                <w:szCs w:val="18"/>
              </w:rPr>
              <w:t>8000</w:t>
            </w:r>
            <w:r>
              <w:rPr>
                <w:rFonts w:hint="eastAsia" w:ascii="宋体" w:hAnsi="宋体" w:cs="宋体"/>
                <w:kern w:val="0"/>
                <w:sz w:val="18"/>
                <w:szCs w:val="18"/>
              </w:rPr>
              <w:t>平方米厂房，建设倒装</w:t>
            </w:r>
            <w:r>
              <w:rPr>
                <w:rFonts w:ascii="宋体" w:hAnsi="宋体" w:cs="宋体"/>
                <w:kern w:val="0"/>
                <w:sz w:val="18"/>
                <w:szCs w:val="18"/>
              </w:rPr>
              <w:t>COB</w:t>
            </w:r>
            <w:r>
              <w:rPr>
                <w:rFonts w:hint="eastAsia" w:ascii="宋体" w:hAnsi="宋体" w:cs="宋体"/>
                <w:kern w:val="0"/>
                <w:sz w:val="18"/>
                <w:szCs w:val="18"/>
              </w:rPr>
              <w:t>和</w:t>
            </w:r>
            <w:r>
              <w:rPr>
                <w:rFonts w:ascii="宋体" w:hAnsi="宋体" w:cs="宋体"/>
                <w:kern w:val="0"/>
                <w:sz w:val="18"/>
                <w:szCs w:val="18"/>
              </w:rPr>
              <w:t>MINICOB</w:t>
            </w:r>
            <w:r>
              <w:rPr>
                <w:rFonts w:hint="eastAsia" w:ascii="宋体" w:hAnsi="宋体" w:cs="宋体"/>
                <w:kern w:val="0"/>
                <w:sz w:val="18"/>
                <w:szCs w:val="18"/>
              </w:rPr>
              <w:t>模组自动生成县。芯片生产线、</w:t>
            </w:r>
            <w:r>
              <w:rPr>
                <w:rFonts w:ascii="宋体" w:hAnsi="宋体" w:cs="宋体"/>
                <w:kern w:val="0"/>
                <w:sz w:val="18"/>
                <w:szCs w:val="18"/>
              </w:rPr>
              <w:t>6</w:t>
            </w:r>
            <w:r>
              <w:rPr>
                <w:rFonts w:hint="eastAsia" w:ascii="宋体" w:hAnsi="宋体" w:cs="宋体"/>
                <w:kern w:val="0"/>
                <w:sz w:val="18"/>
                <w:szCs w:val="18"/>
              </w:rPr>
              <w:t>万片</w:t>
            </w:r>
            <w:r>
              <w:rPr>
                <w:rFonts w:ascii="宋体" w:hAnsi="宋体" w:cs="宋体"/>
                <w:kern w:val="0"/>
                <w:sz w:val="18"/>
                <w:szCs w:val="18"/>
              </w:rPr>
              <w:t>4</w:t>
            </w:r>
            <w:r>
              <w:rPr>
                <w:rFonts w:hint="eastAsia" w:ascii="宋体" w:hAnsi="宋体" w:cs="宋体"/>
                <w:kern w:val="0"/>
                <w:sz w:val="18"/>
                <w:szCs w:val="18"/>
              </w:rPr>
              <w:t>寸晶圆及芯片生产线。</w:t>
            </w:r>
          </w:p>
        </w:tc>
        <w:tc>
          <w:tcPr>
            <w:tcW w:w="1190"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30,000</w:t>
            </w:r>
          </w:p>
        </w:tc>
        <w:tc>
          <w:tcPr>
            <w:tcW w:w="1148"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hint="eastAsia" w:ascii="宋体" w:hAnsi="宋体" w:cs="宋体"/>
                <w:kern w:val="0"/>
                <w:sz w:val="18"/>
                <w:szCs w:val="18"/>
              </w:rPr>
              <w:t>　</w:t>
            </w:r>
          </w:p>
        </w:tc>
        <w:tc>
          <w:tcPr>
            <w:tcW w:w="1217"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电子信息</w:t>
            </w:r>
          </w:p>
        </w:tc>
        <w:tc>
          <w:tcPr>
            <w:tcW w:w="1442"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上杭县工业园</w:t>
            </w:r>
          </w:p>
        </w:tc>
      </w:tr>
      <w:tr>
        <w:trPr>
          <w:trHeight w:val="450" w:hRule="atLeast"/>
        </w:trPr>
        <w:tc>
          <w:tcPr>
            <w:tcW w:w="560" w:type="dxa"/>
            <w:tcBorders>
              <w:top w:val="nil"/>
              <w:left w:val="single" w:color="auto" w:sz="4" w:space="0"/>
              <w:bottom w:val="single" w:color="auto" w:sz="4" w:space="0"/>
              <w:right w:val="single" w:color="auto" w:sz="4" w:space="0"/>
            </w:tcBorders>
            <w:shd w:val="clear" w:color="000000" w:fill="D9D9D9"/>
            <w:vAlign w:val="center"/>
          </w:tcPr>
          <w:p>
            <w:pPr>
              <w:widowControl/>
              <w:jc w:val="center"/>
              <w:rPr>
                <w:rFonts w:ascii="宋体" w:cs="Times New Roman"/>
                <w:b/>
                <w:bCs/>
                <w:kern w:val="0"/>
                <w:sz w:val="18"/>
                <w:szCs w:val="18"/>
              </w:rPr>
            </w:pPr>
            <w:r>
              <w:rPr>
                <w:rFonts w:ascii="宋体" w:hAnsi="宋体" w:cs="宋体"/>
                <w:b/>
                <w:bCs/>
                <w:kern w:val="0"/>
                <w:sz w:val="18"/>
                <w:szCs w:val="18"/>
              </w:rPr>
              <w:t>42</w:t>
            </w:r>
          </w:p>
        </w:tc>
        <w:tc>
          <w:tcPr>
            <w:tcW w:w="25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福建紫金铜业铜板带冷轧扩建项目</w:t>
            </w:r>
          </w:p>
        </w:tc>
        <w:tc>
          <w:tcPr>
            <w:tcW w:w="18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福建紫金铜业有限公司</w:t>
            </w:r>
          </w:p>
        </w:tc>
        <w:tc>
          <w:tcPr>
            <w:tcW w:w="3947"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新增年产高精度铜板带</w:t>
            </w:r>
            <w:r>
              <w:rPr>
                <w:rFonts w:ascii="宋体" w:hAnsi="宋体" w:cs="宋体"/>
                <w:kern w:val="0"/>
                <w:sz w:val="18"/>
                <w:szCs w:val="18"/>
              </w:rPr>
              <w:t>6000</w:t>
            </w:r>
            <w:r>
              <w:rPr>
                <w:rFonts w:hint="eastAsia" w:ascii="宋体" w:hAnsi="宋体" w:cs="宋体"/>
                <w:kern w:val="0"/>
                <w:sz w:val="18"/>
                <w:szCs w:val="18"/>
              </w:rPr>
              <w:t>吨项目</w:t>
            </w:r>
          </w:p>
        </w:tc>
        <w:tc>
          <w:tcPr>
            <w:tcW w:w="1190"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22,000</w:t>
            </w:r>
          </w:p>
        </w:tc>
        <w:tc>
          <w:tcPr>
            <w:tcW w:w="1148"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34,200</w:t>
            </w:r>
          </w:p>
        </w:tc>
        <w:tc>
          <w:tcPr>
            <w:tcW w:w="1217"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电子信息</w:t>
            </w:r>
          </w:p>
        </w:tc>
        <w:tc>
          <w:tcPr>
            <w:tcW w:w="1442"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上杭县工业园</w:t>
            </w:r>
          </w:p>
        </w:tc>
      </w:tr>
      <w:tr>
        <w:trPr>
          <w:trHeight w:val="450" w:hRule="atLeast"/>
        </w:trPr>
        <w:tc>
          <w:tcPr>
            <w:tcW w:w="560" w:type="dxa"/>
            <w:tcBorders>
              <w:top w:val="nil"/>
              <w:left w:val="single" w:color="auto" w:sz="4" w:space="0"/>
              <w:bottom w:val="single" w:color="auto" w:sz="4" w:space="0"/>
              <w:right w:val="single" w:color="auto" w:sz="4" w:space="0"/>
            </w:tcBorders>
            <w:shd w:val="clear" w:color="000000" w:fill="D9D9D9"/>
            <w:vAlign w:val="center"/>
          </w:tcPr>
          <w:p>
            <w:pPr>
              <w:widowControl/>
              <w:jc w:val="center"/>
              <w:rPr>
                <w:rFonts w:ascii="宋体" w:cs="Times New Roman"/>
                <w:b/>
                <w:bCs/>
                <w:kern w:val="0"/>
                <w:sz w:val="18"/>
                <w:szCs w:val="18"/>
              </w:rPr>
            </w:pPr>
            <w:r>
              <w:rPr>
                <w:rFonts w:ascii="宋体" w:hAnsi="宋体" w:cs="宋体"/>
                <w:b/>
                <w:bCs/>
                <w:kern w:val="0"/>
                <w:sz w:val="18"/>
                <w:szCs w:val="18"/>
              </w:rPr>
              <w:t>43</w:t>
            </w:r>
          </w:p>
        </w:tc>
        <w:tc>
          <w:tcPr>
            <w:tcW w:w="2562" w:type="dxa"/>
            <w:tcBorders>
              <w:top w:val="nil"/>
              <w:left w:val="nil"/>
              <w:bottom w:val="single" w:color="auto" w:sz="4" w:space="0"/>
              <w:right w:val="single" w:color="auto" w:sz="4" w:space="0"/>
            </w:tcBorders>
            <w:shd w:val="clear" w:color="000000" w:fill="FFFFFF"/>
            <w:vAlign w:val="center"/>
          </w:tcPr>
          <w:p>
            <w:pPr>
              <w:widowControl/>
              <w:spacing w:line="260" w:lineRule="exact"/>
              <w:jc w:val="left"/>
              <w:rPr>
                <w:rFonts w:ascii="宋体" w:cs="Times New Roman"/>
                <w:kern w:val="0"/>
                <w:sz w:val="18"/>
                <w:szCs w:val="18"/>
              </w:rPr>
            </w:pPr>
            <w:r>
              <w:rPr>
                <w:rFonts w:ascii="宋体" w:hAnsi="宋体" w:cs="宋体"/>
                <w:kern w:val="0"/>
                <w:sz w:val="18"/>
                <w:szCs w:val="18"/>
              </w:rPr>
              <w:t>5G</w:t>
            </w:r>
            <w:r>
              <w:rPr>
                <w:rFonts w:hint="eastAsia" w:ascii="宋体" w:hAnsi="宋体" w:cs="宋体"/>
                <w:kern w:val="0"/>
                <w:sz w:val="18"/>
                <w:szCs w:val="18"/>
              </w:rPr>
              <w:t>通信用高速网络电缆生产项目</w:t>
            </w:r>
          </w:p>
        </w:tc>
        <w:tc>
          <w:tcPr>
            <w:tcW w:w="1862" w:type="dxa"/>
            <w:tcBorders>
              <w:top w:val="nil"/>
              <w:left w:val="nil"/>
              <w:bottom w:val="single" w:color="auto" w:sz="4" w:space="0"/>
              <w:right w:val="single" w:color="auto" w:sz="4" w:space="0"/>
            </w:tcBorders>
            <w:shd w:val="clear" w:color="000000" w:fill="FFFFFF"/>
            <w:vAlign w:val="center"/>
          </w:tcPr>
          <w:p>
            <w:pPr>
              <w:widowControl/>
              <w:spacing w:line="260" w:lineRule="exact"/>
              <w:jc w:val="left"/>
              <w:rPr>
                <w:rFonts w:ascii="宋体" w:cs="Times New Roman"/>
                <w:kern w:val="0"/>
                <w:sz w:val="18"/>
                <w:szCs w:val="18"/>
              </w:rPr>
            </w:pPr>
            <w:r>
              <w:rPr>
                <w:rFonts w:hint="eastAsia" w:ascii="宋体" w:hAnsi="宋体" w:cs="宋体"/>
                <w:kern w:val="0"/>
                <w:sz w:val="18"/>
                <w:szCs w:val="18"/>
              </w:rPr>
              <w:t>上杭科瑞纳特电子科技有限公司</w:t>
            </w:r>
          </w:p>
        </w:tc>
        <w:tc>
          <w:tcPr>
            <w:tcW w:w="3947"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建设</w:t>
            </w:r>
            <w:r>
              <w:rPr>
                <w:rFonts w:ascii="宋体" w:hAnsi="宋体" w:cs="宋体"/>
                <w:kern w:val="0"/>
                <w:sz w:val="18"/>
                <w:szCs w:val="18"/>
              </w:rPr>
              <w:t>5G</w:t>
            </w:r>
            <w:r>
              <w:rPr>
                <w:rFonts w:hint="eastAsia" w:ascii="宋体" w:hAnsi="宋体" w:cs="宋体"/>
                <w:kern w:val="0"/>
                <w:sz w:val="18"/>
                <w:szCs w:val="18"/>
              </w:rPr>
              <w:t>通用高速网络电缆生产线</w:t>
            </w:r>
          </w:p>
        </w:tc>
        <w:tc>
          <w:tcPr>
            <w:tcW w:w="1190"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3,000</w:t>
            </w:r>
          </w:p>
        </w:tc>
        <w:tc>
          <w:tcPr>
            <w:tcW w:w="1148"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6,000</w:t>
            </w:r>
          </w:p>
        </w:tc>
        <w:tc>
          <w:tcPr>
            <w:tcW w:w="1217"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电子信息</w:t>
            </w:r>
          </w:p>
        </w:tc>
        <w:tc>
          <w:tcPr>
            <w:tcW w:w="1442"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上杭县工业园</w:t>
            </w:r>
          </w:p>
        </w:tc>
      </w:tr>
      <w:tr>
        <w:trPr>
          <w:trHeight w:val="450" w:hRule="atLeast"/>
        </w:trPr>
        <w:tc>
          <w:tcPr>
            <w:tcW w:w="560" w:type="dxa"/>
            <w:tcBorders>
              <w:top w:val="nil"/>
              <w:left w:val="single" w:color="auto" w:sz="4" w:space="0"/>
              <w:bottom w:val="single" w:color="auto" w:sz="4" w:space="0"/>
              <w:right w:val="single" w:color="auto" w:sz="4" w:space="0"/>
            </w:tcBorders>
            <w:shd w:val="clear" w:color="000000" w:fill="D9D9D9"/>
            <w:vAlign w:val="center"/>
          </w:tcPr>
          <w:p>
            <w:pPr>
              <w:widowControl/>
              <w:jc w:val="center"/>
              <w:rPr>
                <w:rFonts w:ascii="宋体" w:cs="Times New Roman"/>
                <w:b/>
                <w:bCs/>
                <w:kern w:val="0"/>
                <w:sz w:val="18"/>
                <w:szCs w:val="18"/>
              </w:rPr>
            </w:pPr>
            <w:r>
              <w:rPr>
                <w:rFonts w:ascii="宋体" w:hAnsi="宋体" w:cs="宋体"/>
                <w:b/>
                <w:bCs/>
                <w:kern w:val="0"/>
                <w:sz w:val="18"/>
                <w:szCs w:val="18"/>
              </w:rPr>
              <w:t>44</w:t>
            </w:r>
          </w:p>
        </w:tc>
        <w:tc>
          <w:tcPr>
            <w:tcW w:w="25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ascii="宋体" w:hAnsi="宋体" w:cs="宋体"/>
                <w:kern w:val="0"/>
                <w:sz w:val="18"/>
                <w:szCs w:val="18"/>
              </w:rPr>
              <w:t>5G</w:t>
            </w:r>
            <w:r>
              <w:rPr>
                <w:rFonts w:hint="eastAsia" w:ascii="宋体" w:hAnsi="宋体" w:cs="宋体"/>
                <w:kern w:val="0"/>
                <w:sz w:val="18"/>
                <w:szCs w:val="18"/>
              </w:rPr>
              <w:t>通信连接器及铜端子接插件生产项目</w:t>
            </w:r>
          </w:p>
        </w:tc>
        <w:tc>
          <w:tcPr>
            <w:tcW w:w="18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福建紫金铜业、立讯精密</w:t>
            </w:r>
          </w:p>
        </w:tc>
        <w:tc>
          <w:tcPr>
            <w:tcW w:w="3947"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年产</w:t>
            </w:r>
            <w:r>
              <w:rPr>
                <w:rFonts w:ascii="宋体" w:hAnsi="宋体" w:cs="宋体"/>
                <w:kern w:val="0"/>
                <w:sz w:val="18"/>
                <w:szCs w:val="18"/>
              </w:rPr>
              <w:t>100</w:t>
            </w:r>
            <w:r>
              <w:rPr>
                <w:rFonts w:hint="eastAsia" w:ascii="宋体" w:hAnsi="宋体" w:cs="宋体"/>
                <w:kern w:val="0"/>
                <w:sz w:val="18"/>
                <w:szCs w:val="18"/>
              </w:rPr>
              <w:t>万套电子信息连接器组件、手机连接器、铜端子接插件生产项目</w:t>
            </w:r>
          </w:p>
        </w:tc>
        <w:tc>
          <w:tcPr>
            <w:tcW w:w="1190"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12,000</w:t>
            </w:r>
          </w:p>
        </w:tc>
        <w:tc>
          <w:tcPr>
            <w:tcW w:w="1148"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15,000</w:t>
            </w:r>
          </w:p>
        </w:tc>
        <w:tc>
          <w:tcPr>
            <w:tcW w:w="1217"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电子信息</w:t>
            </w:r>
          </w:p>
        </w:tc>
        <w:tc>
          <w:tcPr>
            <w:tcW w:w="1442"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上杭县工业园</w:t>
            </w:r>
          </w:p>
        </w:tc>
      </w:tr>
      <w:tr>
        <w:trPr>
          <w:trHeight w:val="450" w:hRule="atLeast"/>
        </w:trPr>
        <w:tc>
          <w:tcPr>
            <w:tcW w:w="560" w:type="dxa"/>
            <w:tcBorders>
              <w:top w:val="nil"/>
              <w:left w:val="single" w:color="auto" w:sz="4" w:space="0"/>
              <w:bottom w:val="single" w:color="auto" w:sz="4" w:space="0"/>
              <w:right w:val="single" w:color="auto" w:sz="4" w:space="0"/>
            </w:tcBorders>
            <w:shd w:val="clear" w:color="000000" w:fill="D9D9D9"/>
            <w:vAlign w:val="center"/>
          </w:tcPr>
          <w:p>
            <w:pPr>
              <w:widowControl/>
              <w:jc w:val="center"/>
              <w:rPr>
                <w:rFonts w:ascii="宋体" w:cs="Times New Roman"/>
                <w:b/>
                <w:bCs/>
                <w:kern w:val="0"/>
                <w:sz w:val="18"/>
                <w:szCs w:val="18"/>
              </w:rPr>
            </w:pPr>
            <w:r>
              <w:rPr>
                <w:rFonts w:ascii="宋体" w:hAnsi="宋体" w:cs="宋体"/>
                <w:b/>
                <w:bCs/>
                <w:kern w:val="0"/>
                <w:sz w:val="18"/>
                <w:szCs w:val="18"/>
              </w:rPr>
              <w:t>45</w:t>
            </w:r>
          </w:p>
        </w:tc>
        <w:tc>
          <w:tcPr>
            <w:tcW w:w="25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单晶铜及键合金铜线项目</w:t>
            </w:r>
          </w:p>
        </w:tc>
        <w:tc>
          <w:tcPr>
            <w:tcW w:w="18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紫金集团、招商引资</w:t>
            </w:r>
          </w:p>
        </w:tc>
        <w:tc>
          <w:tcPr>
            <w:tcW w:w="3947"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年产</w:t>
            </w:r>
            <w:r>
              <w:rPr>
                <w:rFonts w:ascii="宋体" w:hAnsi="宋体" w:cs="宋体"/>
                <w:kern w:val="0"/>
                <w:sz w:val="18"/>
                <w:szCs w:val="18"/>
              </w:rPr>
              <w:t>1000</w:t>
            </w:r>
            <w:r>
              <w:rPr>
                <w:rFonts w:hint="eastAsia" w:ascii="宋体" w:hAnsi="宋体" w:cs="宋体"/>
                <w:kern w:val="0"/>
                <w:sz w:val="18"/>
                <w:szCs w:val="18"/>
              </w:rPr>
              <w:t>吨</w:t>
            </w:r>
            <w:r>
              <w:rPr>
                <w:rFonts w:ascii="宋体" w:hAnsi="宋体" w:cs="宋体"/>
                <w:kern w:val="0"/>
                <w:sz w:val="18"/>
                <w:szCs w:val="18"/>
              </w:rPr>
              <w:t>6N-7N</w:t>
            </w:r>
            <w:r>
              <w:rPr>
                <w:rFonts w:hint="eastAsia" w:ascii="宋体" w:hAnsi="宋体" w:cs="宋体"/>
                <w:kern w:val="0"/>
                <w:sz w:val="18"/>
                <w:szCs w:val="18"/>
              </w:rPr>
              <w:t>超单晶铜及键合金铜线项目</w:t>
            </w:r>
          </w:p>
        </w:tc>
        <w:tc>
          <w:tcPr>
            <w:tcW w:w="1190"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20,000</w:t>
            </w:r>
          </w:p>
        </w:tc>
        <w:tc>
          <w:tcPr>
            <w:tcW w:w="1148"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50,000</w:t>
            </w:r>
          </w:p>
        </w:tc>
        <w:tc>
          <w:tcPr>
            <w:tcW w:w="1217"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电子信息</w:t>
            </w:r>
          </w:p>
        </w:tc>
        <w:tc>
          <w:tcPr>
            <w:tcW w:w="1442"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上杭县工业园</w:t>
            </w:r>
          </w:p>
        </w:tc>
      </w:tr>
      <w:tr>
        <w:trPr>
          <w:trHeight w:val="900" w:hRule="atLeast"/>
        </w:trPr>
        <w:tc>
          <w:tcPr>
            <w:tcW w:w="560" w:type="dxa"/>
            <w:tcBorders>
              <w:top w:val="nil"/>
              <w:left w:val="single" w:color="auto" w:sz="4" w:space="0"/>
              <w:bottom w:val="single" w:color="auto" w:sz="4" w:space="0"/>
              <w:right w:val="single" w:color="auto" w:sz="4" w:space="0"/>
            </w:tcBorders>
            <w:shd w:val="clear" w:color="000000" w:fill="D9D9D9"/>
            <w:vAlign w:val="center"/>
          </w:tcPr>
          <w:p>
            <w:pPr>
              <w:widowControl/>
              <w:jc w:val="center"/>
              <w:rPr>
                <w:rFonts w:ascii="宋体" w:cs="Times New Roman"/>
                <w:b/>
                <w:bCs/>
                <w:kern w:val="0"/>
                <w:sz w:val="18"/>
                <w:szCs w:val="18"/>
              </w:rPr>
            </w:pPr>
            <w:r>
              <w:rPr>
                <w:rFonts w:ascii="宋体" w:hAnsi="宋体" w:cs="宋体"/>
                <w:b/>
                <w:bCs/>
                <w:kern w:val="0"/>
                <w:sz w:val="18"/>
                <w:szCs w:val="18"/>
              </w:rPr>
              <w:t>46</w:t>
            </w:r>
          </w:p>
        </w:tc>
        <w:tc>
          <w:tcPr>
            <w:tcW w:w="25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高性能新型铜合金带材生产项目</w:t>
            </w:r>
          </w:p>
        </w:tc>
        <w:tc>
          <w:tcPr>
            <w:tcW w:w="1862" w:type="dxa"/>
            <w:tcBorders>
              <w:top w:val="nil"/>
              <w:left w:val="nil"/>
              <w:bottom w:val="single" w:color="auto" w:sz="4" w:space="0"/>
              <w:right w:val="single" w:color="auto" w:sz="4" w:space="0"/>
            </w:tcBorders>
            <w:shd w:val="clear" w:color="000000" w:fill="FFFFFF"/>
            <w:vAlign w:val="center"/>
          </w:tcPr>
          <w:p>
            <w:pPr>
              <w:widowControl/>
              <w:spacing w:line="260" w:lineRule="exact"/>
              <w:jc w:val="left"/>
              <w:rPr>
                <w:rFonts w:ascii="宋体" w:cs="Times New Roman"/>
                <w:kern w:val="0"/>
                <w:sz w:val="18"/>
                <w:szCs w:val="18"/>
              </w:rPr>
            </w:pPr>
            <w:r>
              <w:rPr>
                <w:rFonts w:hint="eastAsia" w:ascii="宋体" w:hAnsi="宋体" w:cs="宋体"/>
                <w:kern w:val="0"/>
                <w:sz w:val="18"/>
                <w:szCs w:val="18"/>
              </w:rPr>
              <w:t>福建紫金铜业有限公司</w:t>
            </w:r>
          </w:p>
        </w:tc>
        <w:tc>
          <w:tcPr>
            <w:tcW w:w="3947" w:type="dxa"/>
            <w:tcBorders>
              <w:top w:val="nil"/>
              <w:left w:val="nil"/>
              <w:bottom w:val="single" w:color="auto" w:sz="4" w:space="0"/>
              <w:right w:val="single" w:color="auto" w:sz="4" w:space="0"/>
            </w:tcBorders>
            <w:shd w:val="clear" w:color="000000" w:fill="FFFFFF"/>
            <w:vAlign w:val="center"/>
          </w:tcPr>
          <w:p>
            <w:pPr>
              <w:widowControl/>
              <w:spacing w:line="260" w:lineRule="exact"/>
              <w:jc w:val="left"/>
              <w:rPr>
                <w:rFonts w:ascii="宋体" w:cs="Times New Roman"/>
                <w:kern w:val="0"/>
                <w:sz w:val="18"/>
                <w:szCs w:val="18"/>
              </w:rPr>
            </w:pPr>
            <w:r>
              <w:rPr>
                <w:rFonts w:hint="eastAsia" w:ascii="宋体" w:hAnsi="宋体" w:cs="宋体"/>
                <w:kern w:val="0"/>
                <w:sz w:val="18"/>
                <w:szCs w:val="18"/>
              </w:rPr>
              <w:t>年产</w:t>
            </w:r>
            <w:r>
              <w:rPr>
                <w:rFonts w:ascii="宋体" w:hAnsi="宋体" w:cs="宋体"/>
                <w:kern w:val="0"/>
                <w:sz w:val="18"/>
                <w:szCs w:val="18"/>
              </w:rPr>
              <w:t>15</w:t>
            </w:r>
            <w:r>
              <w:rPr>
                <w:rFonts w:hint="eastAsia" w:ascii="宋体" w:hAnsi="宋体" w:cs="宋体"/>
                <w:kern w:val="0"/>
                <w:sz w:val="18"/>
                <w:szCs w:val="18"/>
              </w:rPr>
              <w:t>万吨铜镍硅合金、铜锡磷合金、高铜合金、铜锌合金、铜银合金、铜铬锆合金、高纯铜及其他高性能新型铜合金板带基材生产项目。</w:t>
            </w:r>
          </w:p>
        </w:tc>
        <w:tc>
          <w:tcPr>
            <w:tcW w:w="1190"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150,000</w:t>
            </w:r>
          </w:p>
        </w:tc>
        <w:tc>
          <w:tcPr>
            <w:tcW w:w="1148"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195,000</w:t>
            </w:r>
          </w:p>
        </w:tc>
        <w:tc>
          <w:tcPr>
            <w:tcW w:w="1217"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电子信息</w:t>
            </w:r>
          </w:p>
        </w:tc>
        <w:tc>
          <w:tcPr>
            <w:tcW w:w="1442"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上杭县工业园</w:t>
            </w:r>
          </w:p>
        </w:tc>
      </w:tr>
      <w:tr>
        <w:trPr>
          <w:trHeight w:val="450" w:hRule="atLeast"/>
        </w:trPr>
        <w:tc>
          <w:tcPr>
            <w:tcW w:w="560" w:type="dxa"/>
            <w:tcBorders>
              <w:top w:val="nil"/>
              <w:left w:val="single" w:color="auto" w:sz="4" w:space="0"/>
              <w:bottom w:val="single" w:color="auto" w:sz="4" w:space="0"/>
              <w:right w:val="single" w:color="auto" w:sz="4" w:space="0"/>
            </w:tcBorders>
            <w:shd w:val="clear" w:color="000000" w:fill="D9D9D9"/>
            <w:vAlign w:val="center"/>
          </w:tcPr>
          <w:p>
            <w:pPr>
              <w:widowControl/>
              <w:jc w:val="center"/>
              <w:rPr>
                <w:rFonts w:ascii="宋体" w:cs="Times New Roman"/>
                <w:b/>
                <w:bCs/>
                <w:kern w:val="0"/>
                <w:sz w:val="18"/>
                <w:szCs w:val="18"/>
              </w:rPr>
            </w:pPr>
            <w:r>
              <w:rPr>
                <w:rFonts w:ascii="宋体" w:hAnsi="宋体" w:cs="宋体"/>
                <w:b/>
                <w:bCs/>
                <w:kern w:val="0"/>
                <w:sz w:val="18"/>
                <w:szCs w:val="18"/>
              </w:rPr>
              <w:t>47</w:t>
            </w:r>
          </w:p>
        </w:tc>
        <w:tc>
          <w:tcPr>
            <w:tcW w:w="25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高纯度铜溅射靶材生产线建设项目</w:t>
            </w:r>
          </w:p>
        </w:tc>
        <w:tc>
          <w:tcPr>
            <w:tcW w:w="18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江丰电子、阿石创</w:t>
            </w:r>
          </w:p>
        </w:tc>
        <w:tc>
          <w:tcPr>
            <w:tcW w:w="3947"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建设年产</w:t>
            </w:r>
            <w:r>
              <w:rPr>
                <w:rFonts w:ascii="宋体" w:hAnsi="宋体" w:cs="宋体"/>
                <w:kern w:val="0"/>
                <w:sz w:val="18"/>
                <w:szCs w:val="18"/>
              </w:rPr>
              <w:t>1000</w:t>
            </w:r>
            <w:r>
              <w:rPr>
                <w:rFonts w:hint="eastAsia" w:ascii="宋体" w:hAnsi="宋体" w:cs="宋体"/>
                <w:kern w:val="0"/>
                <w:sz w:val="18"/>
                <w:szCs w:val="18"/>
              </w:rPr>
              <w:t>吨高纯度铜溅射靶材生产线生产项目</w:t>
            </w:r>
          </w:p>
        </w:tc>
        <w:tc>
          <w:tcPr>
            <w:tcW w:w="1190"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30,000</w:t>
            </w:r>
          </w:p>
        </w:tc>
        <w:tc>
          <w:tcPr>
            <w:tcW w:w="1148"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45,000</w:t>
            </w:r>
          </w:p>
        </w:tc>
        <w:tc>
          <w:tcPr>
            <w:tcW w:w="1217"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电子信息</w:t>
            </w:r>
          </w:p>
        </w:tc>
        <w:tc>
          <w:tcPr>
            <w:tcW w:w="1442"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上杭县工业园</w:t>
            </w:r>
          </w:p>
        </w:tc>
      </w:tr>
      <w:tr>
        <w:trPr>
          <w:trHeight w:val="270" w:hRule="atLeast"/>
        </w:trPr>
        <w:tc>
          <w:tcPr>
            <w:tcW w:w="560" w:type="dxa"/>
            <w:tcBorders>
              <w:top w:val="nil"/>
              <w:left w:val="single" w:color="auto" w:sz="4" w:space="0"/>
              <w:bottom w:val="single" w:color="auto" w:sz="4" w:space="0"/>
              <w:right w:val="single" w:color="auto" w:sz="4" w:space="0"/>
            </w:tcBorders>
            <w:shd w:val="clear" w:color="000000" w:fill="D9D9D9"/>
            <w:vAlign w:val="center"/>
          </w:tcPr>
          <w:p>
            <w:pPr>
              <w:widowControl/>
              <w:jc w:val="center"/>
              <w:rPr>
                <w:rFonts w:ascii="宋体" w:cs="Times New Roman"/>
                <w:b/>
                <w:bCs/>
                <w:kern w:val="0"/>
                <w:sz w:val="18"/>
                <w:szCs w:val="18"/>
              </w:rPr>
            </w:pPr>
            <w:r>
              <w:rPr>
                <w:rFonts w:ascii="宋体" w:hAnsi="宋体" w:cs="宋体"/>
                <w:b/>
                <w:bCs/>
                <w:kern w:val="0"/>
                <w:sz w:val="18"/>
                <w:szCs w:val="18"/>
              </w:rPr>
              <w:t>48</w:t>
            </w:r>
          </w:p>
        </w:tc>
        <w:tc>
          <w:tcPr>
            <w:tcW w:w="25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泡沫铜生产项目</w:t>
            </w:r>
          </w:p>
        </w:tc>
        <w:tc>
          <w:tcPr>
            <w:tcW w:w="18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北京有研</w:t>
            </w:r>
          </w:p>
        </w:tc>
        <w:tc>
          <w:tcPr>
            <w:tcW w:w="3947"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建设年产</w:t>
            </w:r>
            <w:r>
              <w:rPr>
                <w:rFonts w:ascii="宋体" w:hAnsi="宋体" w:cs="宋体"/>
                <w:kern w:val="0"/>
                <w:sz w:val="18"/>
                <w:szCs w:val="18"/>
              </w:rPr>
              <w:t>1</w:t>
            </w:r>
            <w:r>
              <w:rPr>
                <w:rFonts w:hint="eastAsia" w:ascii="宋体" w:hAnsi="宋体" w:cs="宋体"/>
                <w:kern w:val="0"/>
                <w:sz w:val="18"/>
                <w:szCs w:val="18"/>
              </w:rPr>
              <w:t>万吨泡沫铜生产项目</w:t>
            </w:r>
          </w:p>
        </w:tc>
        <w:tc>
          <w:tcPr>
            <w:tcW w:w="1190"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20,000</w:t>
            </w:r>
          </w:p>
        </w:tc>
        <w:tc>
          <w:tcPr>
            <w:tcW w:w="1148"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52,500</w:t>
            </w:r>
          </w:p>
        </w:tc>
        <w:tc>
          <w:tcPr>
            <w:tcW w:w="1217"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电子信息</w:t>
            </w:r>
          </w:p>
        </w:tc>
        <w:tc>
          <w:tcPr>
            <w:tcW w:w="1442"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上杭县工业园</w:t>
            </w:r>
          </w:p>
        </w:tc>
      </w:tr>
      <w:tr>
        <w:trPr>
          <w:trHeight w:val="450" w:hRule="atLeast"/>
        </w:trPr>
        <w:tc>
          <w:tcPr>
            <w:tcW w:w="560" w:type="dxa"/>
            <w:tcBorders>
              <w:top w:val="nil"/>
              <w:left w:val="single" w:color="auto" w:sz="4" w:space="0"/>
              <w:bottom w:val="single" w:color="auto" w:sz="4" w:space="0"/>
              <w:right w:val="single" w:color="auto" w:sz="4" w:space="0"/>
            </w:tcBorders>
            <w:shd w:val="clear" w:color="000000" w:fill="D9D9D9"/>
            <w:vAlign w:val="center"/>
          </w:tcPr>
          <w:p>
            <w:pPr>
              <w:widowControl/>
              <w:jc w:val="center"/>
              <w:rPr>
                <w:rFonts w:ascii="宋体" w:cs="Times New Roman"/>
                <w:b/>
                <w:bCs/>
                <w:kern w:val="0"/>
                <w:sz w:val="18"/>
                <w:szCs w:val="18"/>
              </w:rPr>
            </w:pPr>
            <w:r>
              <w:rPr>
                <w:rFonts w:ascii="宋体" w:hAnsi="宋体" w:cs="宋体"/>
                <w:b/>
                <w:bCs/>
                <w:kern w:val="0"/>
                <w:sz w:val="18"/>
                <w:szCs w:val="18"/>
              </w:rPr>
              <w:t>49</w:t>
            </w:r>
          </w:p>
        </w:tc>
        <w:tc>
          <w:tcPr>
            <w:tcW w:w="25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高频微波覆铜板生产项目</w:t>
            </w:r>
          </w:p>
        </w:tc>
        <w:tc>
          <w:tcPr>
            <w:tcW w:w="18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建滔化工</w:t>
            </w:r>
          </w:p>
        </w:tc>
        <w:tc>
          <w:tcPr>
            <w:tcW w:w="3947" w:type="dxa"/>
            <w:tcBorders>
              <w:top w:val="nil"/>
              <w:left w:val="nil"/>
              <w:bottom w:val="single" w:color="auto" w:sz="4" w:space="0"/>
              <w:right w:val="single" w:color="auto" w:sz="4" w:space="0"/>
            </w:tcBorders>
            <w:shd w:val="clear" w:color="000000" w:fill="FFFFFF"/>
            <w:vAlign w:val="center"/>
          </w:tcPr>
          <w:p>
            <w:pPr>
              <w:widowControl/>
              <w:spacing w:line="260" w:lineRule="exact"/>
              <w:jc w:val="left"/>
              <w:rPr>
                <w:rFonts w:ascii="宋体" w:cs="Times New Roman"/>
                <w:kern w:val="0"/>
                <w:sz w:val="18"/>
                <w:szCs w:val="18"/>
              </w:rPr>
            </w:pPr>
            <w:r>
              <w:rPr>
                <w:rFonts w:hint="eastAsia" w:ascii="宋体" w:hAnsi="宋体" w:cs="宋体"/>
                <w:kern w:val="0"/>
                <w:sz w:val="18"/>
                <w:szCs w:val="18"/>
              </w:rPr>
              <w:t>建设</w:t>
            </w:r>
            <w:r>
              <w:rPr>
                <w:rFonts w:ascii="宋体" w:hAnsi="宋体" w:cs="宋体"/>
                <w:kern w:val="0"/>
                <w:sz w:val="18"/>
                <w:szCs w:val="18"/>
              </w:rPr>
              <w:t>2</w:t>
            </w:r>
            <w:r>
              <w:rPr>
                <w:rFonts w:hint="eastAsia" w:ascii="宋体" w:hAnsi="宋体" w:cs="宋体"/>
                <w:kern w:val="0"/>
                <w:sz w:val="18"/>
                <w:szCs w:val="18"/>
              </w:rPr>
              <w:t>条高频微波覆铜板生产线，年产高频覆铜板</w:t>
            </w:r>
            <w:r>
              <w:rPr>
                <w:rFonts w:ascii="宋体" w:hAnsi="宋体" w:cs="宋体"/>
                <w:kern w:val="0"/>
                <w:sz w:val="18"/>
                <w:szCs w:val="18"/>
              </w:rPr>
              <w:t>200</w:t>
            </w:r>
            <w:r>
              <w:rPr>
                <w:rFonts w:hint="eastAsia" w:ascii="宋体" w:hAnsi="宋体" w:cs="宋体"/>
                <w:kern w:val="0"/>
                <w:sz w:val="18"/>
                <w:szCs w:val="18"/>
              </w:rPr>
              <w:t>万张</w:t>
            </w:r>
            <w:r>
              <w:rPr>
                <w:rFonts w:ascii="宋体" w:hAnsi="宋体" w:cs="宋体"/>
                <w:kern w:val="0"/>
                <w:sz w:val="18"/>
                <w:szCs w:val="18"/>
              </w:rPr>
              <w:t>/</w:t>
            </w:r>
            <w:r>
              <w:rPr>
                <w:rFonts w:hint="eastAsia" w:ascii="宋体" w:hAnsi="宋体" w:cs="宋体"/>
                <w:kern w:val="0"/>
                <w:sz w:val="18"/>
                <w:szCs w:val="18"/>
              </w:rPr>
              <w:t>年的生产能力。</w:t>
            </w:r>
          </w:p>
        </w:tc>
        <w:tc>
          <w:tcPr>
            <w:tcW w:w="1190"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28,000</w:t>
            </w:r>
          </w:p>
        </w:tc>
        <w:tc>
          <w:tcPr>
            <w:tcW w:w="1148"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85,000</w:t>
            </w:r>
          </w:p>
        </w:tc>
        <w:tc>
          <w:tcPr>
            <w:tcW w:w="1217"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电子信息</w:t>
            </w:r>
          </w:p>
        </w:tc>
        <w:tc>
          <w:tcPr>
            <w:tcW w:w="1442"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上杭县工业园</w:t>
            </w:r>
          </w:p>
        </w:tc>
      </w:tr>
      <w:tr>
        <w:trPr>
          <w:trHeight w:val="450" w:hRule="atLeast"/>
        </w:trPr>
        <w:tc>
          <w:tcPr>
            <w:tcW w:w="560" w:type="dxa"/>
            <w:tcBorders>
              <w:top w:val="nil"/>
              <w:left w:val="single" w:color="auto" w:sz="4" w:space="0"/>
              <w:bottom w:val="single" w:color="auto" w:sz="4" w:space="0"/>
              <w:right w:val="single" w:color="auto" w:sz="4" w:space="0"/>
            </w:tcBorders>
            <w:shd w:val="clear" w:color="000000" w:fill="D9D9D9"/>
            <w:vAlign w:val="center"/>
          </w:tcPr>
          <w:p>
            <w:pPr>
              <w:widowControl/>
              <w:jc w:val="center"/>
              <w:rPr>
                <w:rFonts w:ascii="宋体" w:cs="Times New Roman"/>
                <w:b/>
                <w:bCs/>
                <w:kern w:val="0"/>
                <w:sz w:val="18"/>
                <w:szCs w:val="18"/>
              </w:rPr>
            </w:pPr>
            <w:r>
              <w:rPr>
                <w:rFonts w:ascii="宋体" w:hAnsi="宋体" w:cs="宋体"/>
                <w:b/>
                <w:bCs/>
                <w:kern w:val="0"/>
                <w:sz w:val="18"/>
                <w:szCs w:val="18"/>
              </w:rPr>
              <w:t>50</w:t>
            </w:r>
          </w:p>
        </w:tc>
        <w:tc>
          <w:tcPr>
            <w:tcW w:w="25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柔性多层印制电路板建设项目</w:t>
            </w:r>
          </w:p>
        </w:tc>
        <w:tc>
          <w:tcPr>
            <w:tcW w:w="18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生益科技</w:t>
            </w:r>
          </w:p>
        </w:tc>
        <w:tc>
          <w:tcPr>
            <w:tcW w:w="3947"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年产</w:t>
            </w:r>
            <w:r>
              <w:rPr>
                <w:rFonts w:ascii="宋体" w:hAnsi="宋体" w:cs="宋体"/>
                <w:kern w:val="0"/>
                <w:sz w:val="18"/>
                <w:szCs w:val="18"/>
              </w:rPr>
              <w:t>45</w:t>
            </w:r>
            <w:r>
              <w:rPr>
                <w:rFonts w:hint="eastAsia" w:ascii="宋体" w:hAnsi="宋体" w:cs="宋体"/>
                <w:kern w:val="0"/>
                <w:sz w:val="18"/>
                <w:szCs w:val="18"/>
              </w:rPr>
              <w:t>万平方米印刷线路板项目</w:t>
            </w:r>
          </w:p>
        </w:tc>
        <w:tc>
          <w:tcPr>
            <w:tcW w:w="1190"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50,000</w:t>
            </w:r>
          </w:p>
        </w:tc>
        <w:tc>
          <w:tcPr>
            <w:tcW w:w="1148"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140,000</w:t>
            </w:r>
          </w:p>
        </w:tc>
        <w:tc>
          <w:tcPr>
            <w:tcW w:w="1217"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电子信息</w:t>
            </w:r>
          </w:p>
        </w:tc>
        <w:tc>
          <w:tcPr>
            <w:tcW w:w="1442"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上杭县工业园</w:t>
            </w:r>
          </w:p>
        </w:tc>
      </w:tr>
      <w:tr>
        <w:trPr>
          <w:trHeight w:val="450" w:hRule="atLeast"/>
        </w:trPr>
        <w:tc>
          <w:tcPr>
            <w:tcW w:w="560" w:type="dxa"/>
            <w:tcBorders>
              <w:top w:val="nil"/>
              <w:left w:val="single" w:color="auto" w:sz="4" w:space="0"/>
              <w:bottom w:val="single" w:color="auto" w:sz="4" w:space="0"/>
              <w:right w:val="single" w:color="auto" w:sz="4" w:space="0"/>
            </w:tcBorders>
            <w:shd w:val="clear" w:color="000000" w:fill="D9D9D9"/>
            <w:vAlign w:val="center"/>
          </w:tcPr>
          <w:p>
            <w:pPr>
              <w:widowControl/>
              <w:jc w:val="center"/>
              <w:rPr>
                <w:rFonts w:ascii="宋体" w:cs="Times New Roman"/>
                <w:b/>
                <w:bCs/>
                <w:kern w:val="0"/>
                <w:sz w:val="18"/>
                <w:szCs w:val="18"/>
              </w:rPr>
            </w:pPr>
            <w:r>
              <w:rPr>
                <w:rFonts w:ascii="宋体" w:hAnsi="宋体" w:cs="宋体"/>
                <w:b/>
                <w:bCs/>
                <w:kern w:val="0"/>
                <w:sz w:val="18"/>
                <w:szCs w:val="18"/>
              </w:rPr>
              <w:t>51</w:t>
            </w:r>
          </w:p>
        </w:tc>
        <w:tc>
          <w:tcPr>
            <w:tcW w:w="25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ascii="宋体" w:hAnsi="宋体" w:cs="宋体"/>
                <w:kern w:val="0"/>
                <w:sz w:val="18"/>
                <w:szCs w:val="18"/>
              </w:rPr>
              <w:t>5G</w:t>
            </w:r>
            <w:r>
              <w:rPr>
                <w:rFonts w:hint="eastAsia" w:ascii="宋体" w:hAnsi="宋体" w:cs="宋体"/>
                <w:kern w:val="0"/>
                <w:sz w:val="18"/>
                <w:szCs w:val="18"/>
              </w:rPr>
              <w:t>通信机房散热器项目</w:t>
            </w:r>
          </w:p>
        </w:tc>
        <w:tc>
          <w:tcPr>
            <w:tcW w:w="18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福建紫金铜业、上海东冠电气</w:t>
            </w:r>
          </w:p>
        </w:tc>
        <w:tc>
          <w:tcPr>
            <w:tcW w:w="3947"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年产</w:t>
            </w:r>
            <w:r>
              <w:rPr>
                <w:rFonts w:ascii="宋体" w:hAnsi="宋体" w:cs="宋体"/>
                <w:kern w:val="0"/>
                <w:sz w:val="18"/>
                <w:szCs w:val="18"/>
              </w:rPr>
              <w:t>5</w:t>
            </w:r>
            <w:r>
              <w:rPr>
                <w:rFonts w:hint="eastAsia" w:ascii="宋体" w:hAnsi="宋体" w:cs="宋体"/>
                <w:kern w:val="0"/>
                <w:sz w:val="18"/>
                <w:szCs w:val="18"/>
              </w:rPr>
              <w:t>万台通信机房散热器生产项目</w:t>
            </w:r>
          </w:p>
        </w:tc>
        <w:tc>
          <w:tcPr>
            <w:tcW w:w="1190"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2,000</w:t>
            </w:r>
          </w:p>
        </w:tc>
        <w:tc>
          <w:tcPr>
            <w:tcW w:w="1148"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10,000</w:t>
            </w:r>
          </w:p>
        </w:tc>
        <w:tc>
          <w:tcPr>
            <w:tcW w:w="1217"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电子信息</w:t>
            </w:r>
          </w:p>
        </w:tc>
        <w:tc>
          <w:tcPr>
            <w:tcW w:w="1442"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上杭县工业园</w:t>
            </w:r>
          </w:p>
        </w:tc>
      </w:tr>
      <w:tr>
        <w:trPr>
          <w:trHeight w:val="270" w:hRule="atLeast"/>
        </w:trPr>
        <w:tc>
          <w:tcPr>
            <w:tcW w:w="560" w:type="dxa"/>
            <w:tcBorders>
              <w:top w:val="nil"/>
              <w:left w:val="single" w:color="auto" w:sz="4" w:space="0"/>
              <w:bottom w:val="single" w:color="auto" w:sz="4" w:space="0"/>
              <w:right w:val="single" w:color="auto" w:sz="4" w:space="0"/>
            </w:tcBorders>
            <w:shd w:val="clear" w:color="000000" w:fill="D9D9D9"/>
            <w:vAlign w:val="center"/>
          </w:tcPr>
          <w:p>
            <w:pPr>
              <w:widowControl/>
              <w:jc w:val="center"/>
              <w:rPr>
                <w:rFonts w:ascii="宋体" w:cs="Times New Roman"/>
                <w:b/>
                <w:bCs/>
                <w:kern w:val="0"/>
                <w:sz w:val="18"/>
                <w:szCs w:val="18"/>
              </w:rPr>
            </w:pPr>
            <w:r>
              <w:rPr>
                <w:rFonts w:ascii="宋体" w:hAnsi="宋体" w:cs="宋体"/>
                <w:b/>
                <w:bCs/>
                <w:kern w:val="0"/>
                <w:sz w:val="18"/>
                <w:szCs w:val="18"/>
              </w:rPr>
              <w:t>52</w:t>
            </w:r>
          </w:p>
        </w:tc>
        <w:tc>
          <w:tcPr>
            <w:tcW w:w="25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ascii="宋体" w:hAnsi="宋体" w:cs="宋体"/>
                <w:kern w:val="0"/>
                <w:sz w:val="18"/>
                <w:szCs w:val="18"/>
              </w:rPr>
              <w:t>5G</w:t>
            </w:r>
            <w:r>
              <w:rPr>
                <w:rFonts w:hint="eastAsia" w:ascii="宋体" w:hAnsi="宋体" w:cs="宋体"/>
                <w:kern w:val="0"/>
                <w:sz w:val="18"/>
                <w:szCs w:val="18"/>
              </w:rPr>
              <w:t>基站天线生产项目</w:t>
            </w:r>
          </w:p>
        </w:tc>
        <w:tc>
          <w:tcPr>
            <w:tcW w:w="18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华为公司</w:t>
            </w:r>
          </w:p>
        </w:tc>
        <w:tc>
          <w:tcPr>
            <w:tcW w:w="3947"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年产</w:t>
            </w:r>
            <w:r>
              <w:rPr>
                <w:rFonts w:ascii="宋体" w:hAnsi="宋体" w:cs="宋体"/>
                <w:kern w:val="0"/>
                <w:sz w:val="18"/>
                <w:szCs w:val="18"/>
              </w:rPr>
              <w:t>1.6</w:t>
            </w:r>
            <w:r>
              <w:rPr>
                <w:rFonts w:hint="eastAsia" w:ascii="宋体" w:hAnsi="宋体" w:cs="宋体"/>
                <w:kern w:val="0"/>
                <w:sz w:val="18"/>
                <w:szCs w:val="18"/>
              </w:rPr>
              <w:t>万套</w:t>
            </w:r>
            <w:r>
              <w:rPr>
                <w:rFonts w:ascii="宋体" w:hAnsi="宋体" w:cs="宋体"/>
                <w:kern w:val="0"/>
                <w:sz w:val="18"/>
                <w:szCs w:val="18"/>
              </w:rPr>
              <w:t>5G</w:t>
            </w:r>
            <w:r>
              <w:rPr>
                <w:rFonts w:hint="eastAsia" w:ascii="宋体" w:hAnsi="宋体" w:cs="宋体"/>
                <w:kern w:val="0"/>
                <w:sz w:val="18"/>
                <w:szCs w:val="18"/>
              </w:rPr>
              <w:t>基站天线生产项目</w:t>
            </w:r>
          </w:p>
        </w:tc>
        <w:tc>
          <w:tcPr>
            <w:tcW w:w="1190"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11,376</w:t>
            </w:r>
          </w:p>
        </w:tc>
        <w:tc>
          <w:tcPr>
            <w:tcW w:w="1148"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w:t>
            </w:r>
          </w:p>
        </w:tc>
        <w:tc>
          <w:tcPr>
            <w:tcW w:w="1217"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电子信息</w:t>
            </w:r>
          </w:p>
        </w:tc>
        <w:tc>
          <w:tcPr>
            <w:tcW w:w="1442"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上杭县工业园</w:t>
            </w:r>
          </w:p>
        </w:tc>
      </w:tr>
      <w:tr>
        <w:trPr>
          <w:trHeight w:val="450" w:hRule="atLeast"/>
        </w:trPr>
        <w:tc>
          <w:tcPr>
            <w:tcW w:w="560" w:type="dxa"/>
            <w:tcBorders>
              <w:top w:val="nil"/>
              <w:left w:val="single" w:color="auto" w:sz="4" w:space="0"/>
              <w:bottom w:val="single" w:color="auto" w:sz="4" w:space="0"/>
              <w:right w:val="single" w:color="auto" w:sz="4" w:space="0"/>
            </w:tcBorders>
            <w:shd w:val="clear" w:color="000000" w:fill="D9D9D9"/>
            <w:vAlign w:val="center"/>
          </w:tcPr>
          <w:p>
            <w:pPr>
              <w:widowControl/>
              <w:jc w:val="center"/>
              <w:rPr>
                <w:rFonts w:ascii="宋体" w:cs="Times New Roman"/>
                <w:b/>
                <w:bCs/>
                <w:kern w:val="0"/>
                <w:sz w:val="18"/>
                <w:szCs w:val="18"/>
              </w:rPr>
            </w:pPr>
            <w:r>
              <w:rPr>
                <w:rFonts w:ascii="宋体" w:hAnsi="宋体" w:cs="宋体"/>
                <w:b/>
                <w:bCs/>
                <w:kern w:val="0"/>
                <w:sz w:val="18"/>
                <w:szCs w:val="18"/>
              </w:rPr>
              <w:t>53</w:t>
            </w:r>
          </w:p>
        </w:tc>
        <w:tc>
          <w:tcPr>
            <w:tcW w:w="2562" w:type="dxa"/>
            <w:tcBorders>
              <w:top w:val="nil"/>
              <w:left w:val="nil"/>
              <w:bottom w:val="single" w:color="auto" w:sz="4" w:space="0"/>
              <w:right w:val="single" w:color="auto" w:sz="4" w:space="0"/>
            </w:tcBorders>
            <w:shd w:val="clear" w:color="000000" w:fill="FFFFFF"/>
            <w:vAlign w:val="center"/>
          </w:tcPr>
          <w:p>
            <w:pPr>
              <w:widowControl/>
              <w:spacing w:line="260" w:lineRule="exact"/>
              <w:jc w:val="left"/>
              <w:rPr>
                <w:rFonts w:ascii="宋体" w:cs="Times New Roman"/>
                <w:kern w:val="0"/>
                <w:sz w:val="18"/>
                <w:szCs w:val="18"/>
              </w:rPr>
            </w:pPr>
            <w:r>
              <w:rPr>
                <w:rFonts w:ascii="宋体" w:hAnsi="宋体" w:cs="宋体"/>
                <w:kern w:val="0"/>
                <w:sz w:val="18"/>
                <w:szCs w:val="18"/>
              </w:rPr>
              <w:t>PCB</w:t>
            </w:r>
            <w:r>
              <w:rPr>
                <w:rFonts w:hint="eastAsia" w:ascii="宋体" w:hAnsi="宋体" w:cs="宋体"/>
                <w:kern w:val="0"/>
                <w:sz w:val="18"/>
                <w:szCs w:val="18"/>
              </w:rPr>
              <w:t>用高纯铜箔、锂离子电池用高纯铜箔</w:t>
            </w:r>
          </w:p>
        </w:tc>
        <w:tc>
          <w:tcPr>
            <w:tcW w:w="1862" w:type="dxa"/>
            <w:tcBorders>
              <w:top w:val="nil"/>
              <w:left w:val="nil"/>
              <w:bottom w:val="single" w:color="auto" w:sz="4" w:space="0"/>
              <w:right w:val="single" w:color="auto" w:sz="4" w:space="0"/>
            </w:tcBorders>
            <w:shd w:val="clear" w:color="000000" w:fill="FFFFFF"/>
            <w:vAlign w:val="center"/>
          </w:tcPr>
          <w:p>
            <w:pPr>
              <w:widowControl/>
              <w:spacing w:line="260" w:lineRule="exact"/>
              <w:jc w:val="left"/>
              <w:rPr>
                <w:rFonts w:ascii="宋体" w:cs="Times New Roman"/>
                <w:kern w:val="0"/>
                <w:sz w:val="18"/>
                <w:szCs w:val="18"/>
              </w:rPr>
            </w:pPr>
            <w:r>
              <w:rPr>
                <w:rFonts w:hint="eastAsia" w:ascii="宋体" w:hAnsi="宋体" w:cs="宋体"/>
                <w:kern w:val="0"/>
                <w:sz w:val="18"/>
                <w:szCs w:val="18"/>
              </w:rPr>
              <w:t>福建清景铜箔有限公司、诺德股份</w:t>
            </w:r>
          </w:p>
        </w:tc>
        <w:tc>
          <w:tcPr>
            <w:tcW w:w="3947" w:type="dxa"/>
            <w:tcBorders>
              <w:top w:val="nil"/>
              <w:left w:val="nil"/>
              <w:bottom w:val="single" w:color="auto" w:sz="4" w:space="0"/>
              <w:right w:val="single" w:color="auto" w:sz="4" w:space="0"/>
            </w:tcBorders>
            <w:shd w:val="clear" w:color="000000" w:fill="FFFFFF"/>
            <w:vAlign w:val="center"/>
          </w:tcPr>
          <w:p>
            <w:pPr>
              <w:widowControl/>
              <w:spacing w:line="260" w:lineRule="exact"/>
              <w:jc w:val="left"/>
              <w:rPr>
                <w:rFonts w:ascii="宋体" w:cs="Times New Roman"/>
                <w:kern w:val="0"/>
                <w:sz w:val="18"/>
                <w:szCs w:val="18"/>
              </w:rPr>
            </w:pPr>
            <w:r>
              <w:rPr>
                <w:rFonts w:hint="eastAsia" w:ascii="宋体" w:hAnsi="宋体" w:cs="宋体"/>
                <w:kern w:val="0"/>
                <w:sz w:val="18"/>
                <w:szCs w:val="18"/>
              </w:rPr>
              <w:t>新增年产</w:t>
            </w:r>
            <w:r>
              <w:rPr>
                <w:rFonts w:ascii="宋体" w:hAnsi="宋体" w:cs="宋体"/>
                <w:kern w:val="0"/>
                <w:sz w:val="18"/>
                <w:szCs w:val="18"/>
              </w:rPr>
              <w:t>1.5</w:t>
            </w:r>
            <w:r>
              <w:rPr>
                <w:rFonts w:hint="eastAsia" w:ascii="宋体" w:hAnsi="宋体" w:cs="宋体"/>
                <w:kern w:val="0"/>
                <w:sz w:val="18"/>
                <w:szCs w:val="18"/>
              </w:rPr>
              <w:t>万吨高精度锂电池用电解铜箔生产项目</w:t>
            </w:r>
          </w:p>
        </w:tc>
        <w:tc>
          <w:tcPr>
            <w:tcW w:w="1190"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40,000</w:t>
            </w:r>
          </w:p>
        </w:tc>
        <w:tc>
          <w:tcPr>
            <w:tcW w:w="1148"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135,000</w:t>
            </w:r>
          </w:p>
        </w:tc>
        <w:tc>
          <w:tcPr>
            <w:tcW w:w="1217"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电子信息</w:t>
            </w:r>
          </w:p>
        </w:tc>
        <w:tc>
          <w:tcPr>
            <w:tcW w:w="1442"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上杭县工业园</w:t>
            </w:r>
          </w:p>
        </w:tc>
      </w:tr>
      <w:tr>
        <w:trPr>
          <w:trHeight w:val="450" w:hRule="atLeast"/>
        </w:trPr>
        <w:tc>
          <w:tcPr>
            <w:tcW w:w="560" w:type="dxa"/>
            <w:tcBorders>
              <w:top w:val="nil"/>
              <w:left w:val="single" w:color="auto" w:sz="4" w:space="0"/>
              <w:bottom w:val="single" w:color="auto" w:sz="4" w:space="0"/>
              <w:right w:val="single" w:color="auto" w:sz="4" w:space="0"/>
            </w:tcBorders>
            <w:shd w:val="clear" w:color="000000" w:fill="D9D9D9"/>
            <w:vAlign w:val="center"/>
          </w:tcPr>
          <w:p>
            <w:pPr>
              <w:widowControl/>
              <w:jc w:val="center"/>
              <w:rPr>
                <w:rFonts w:ascii="宋体" w:cs="Times New Roman"/>
                <w:b/>
                <w:bCs/>
                <w:kern w:val="0"/>
                <w:sz w:val="18"/>
                <w:szCs w:val="18"/>
              </w:rPr>
            </w:pPr>
            <w:r>
              <w:rPr>
                <w:rFonts w:ascii="宋体" w:hAnsi="宋体" w:cs="宋体"/>
                <w:b/>
                <w:bCs/>
                <w:kern w:val="0"/>
                <w:sz w:val="18"/>
                <w:szCs w:val="18"/>
              </w:rPr>
              <w:t>54</w:t>
            </w:r>
          </w:p>
        </w:tc>
        <w:tc>
          <w:tcPr>
            <w:tcW w:w="2562" w:type="dxa"/>
            <w:tcBorders>
              <w:top w:val="nil"/>
              <w:left w:val="nil"/>
              <w:bottom w:val="single" w:color="auto" w:sz="4" w:space="0"/>
              <w:right w:val="single" w:color="auto" w:sz="4" w:space="0"/>
            </w:tcBorders>
            <w:shd w:val="clear" w:color="000000" w:fill="FFFFFF"/>
            <w:vAlign w:val="center"/>
          </w:tcPr>
          <w:p>
            <w:pPr>
              <w:widowControl/>
              <w:spacing w:line="260" w:lineRule="exact"/>
              <w:jc w:val="left"/>
              <w:rPr>
                <w:rFonts w:ascii="宋体" w:cs="Times New Roman"/>
                <w:kern w:val="0"/>
                <w:sz w:val="18"/>
                <w:szCs w:val="18"/>
              </w:rPr>
            </w:pPr>
            <w:r>
              <w:rPr>
                <w:rFonts w:hint="eastAsia" w:ascii="宋体" w:hAnsi="宋体" w:cs="宋体"/>
                <w:kern w:val="0"/>
                <w:sz w:val="18"/>
                <w:szCs w:val="18"/>
              </w:rPr>
              <w:t>新型通信设备用连接器及线缆组件</w:t>
            </w:r>
          </w:p>
        </w:tc>
        <w:tc>
          <w:tcPr>
            <w:tcW w:w="18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立讯精密、长盈精密</w:t>
            </w:r>
          </w:p>
        </w:tc>
        <w:tc>
          <w:tcPr>
            <w:tcW w:w="3947" w:type="dxa"/>
            <w:tcBorders>
              <w:top w:val="nil"/>
              <w:left w:val="nil"/>
              <w:bottom w:val="single" w:color="auto" w:sz="4" w:space="0"/>
              <w:right w:val="single" w:color="auto" w:sz="4" w:space="0"/>
            </w:tcBorders>
            <w:shd w:val="clear" w:color="000000" w:fill="FFFFFF"/>
            <w:vAlign w:val="center"/>
          </w:tcPr>
          <w:p>
            <w:pPr>
              <w:widowControl/>
              <w:spacing w:line="260" w:lineRule="exact"/>
              <w:jc w:val="left"/>
              <w:rPr>
                <w:rFonts w:ascii="宋体" w:cs="Times New Roman"/>
                <w:kern w:val="0"/>
                <w:sz w:val="18"/>
                <w:szCs w:val="18"/>
              </w:rPr>
            </w:pPr>
            <w:r>
              <w:rPr>
                <w:rFonts w:hint="eastAsia" w:ascii="宋体" w:hAnsi="宋体" w:cs="宋体"/>
                <w:kern w:val="0"/>
                <w:sz w:val="18"/>
                <w:szCs w:val="18"/>
              </w:rPr>
              <w:t>年产</w:t>
            </w:r>
            <w:r>
              <w:rPr>
                <w:rFonts w:ascii="宋体" w:hAnsi="宋体" w:cs="宋体"/>
                <w:kern w:val="0"/>
                <w:sz w:val="18"/>
                <w:szCs w:val="18"/>
              </w:rPr>
              <w:t>200</w:t>
            </w:r>
            <w:r>
              <w:rPr>
                <w:rFonts w:hint="eastAsia" w:ascii="宋体" w:hAnsi="宋体" w:cs="宋体"/>
                <w:kern w:val="0"/>
                <w:sz w:val="18"/>
                <w:szCs w:val="18"/>
              </w:rPr>
              <w:t>万套新型通信设备用连接器及线缆组件</w:t>
            </w:r>
          </w:p>
        </w:tc>
        <w:tc>
          <w:tcPr>
            <w:tcW w:w="1190"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30,000</w:t>
            </w:r>
          </w:p>
        </w:tc>
        <w:tc>
          <w:tcPr>
            <w:tcW w:w="1148"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45,000</w:t>
            </w:r>
          </w:p>
        </w:tc>
        <w:tc>
          <w:tcPr>
            <w:tcW w:w="1217"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电子信息</w:t>
            </w:r>
          </w:p>
        </w:tc>
        <w:tc>
          <w:tcPr>
            <w:tcW w:w="1442"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上杭县工业园</w:t>
            </w:r>
          </w:p>
        </w:tc>
      </w:tr>
      <w:tr>
        <w:trPr>
          <w:trHeight w:val="450" w:hRule="atLeast"/>
        </w:trPr>
        <w:tc>
          <w:tcPr>
            <w:tcW w:w="560" w:type="dxa"/>
            <w:tcBorders>
              <w:top w:val="nil"/>
              <w:left w:val="single" w:color="auto" w:sz="4" w:space="0"/>
              <w:bottom w:val="single" w:color="auto" w:sz="4" w:space="0"/>
              <w:right w:val="single" w:color="auto" w:sz="4" w:space="0"/>
            </w:tcBorders>
            <w:shd w:val="clear" w:color="000000" w:fill="D9D9D9"/>
            <w:vAlign w:val="center"/>
          </w:tcPr>
          <w:p>
            <w:pPr>
              <w:widowControl/>
              <w:jc w:val="center"/>
              <w:rPr>
                <w:rFonts w:ascii="宋体" w:cs="Times New Roman"/>
                <w:b/>
                <w:bCs/>
                <w:kern w:val="0"/>
                <w:sz w:val="18"/>
                <w:szCs w:val="18"/>
              </w:rPr>
            </w:pPr>
            <w:r>
              <w:rPr>
                <w:rFonts w:ascii="宋体" w:hAnsi="宋体" w:cs="宋体"/>
                <w:b/>
                <w:bCs/>
                <w:kern w:val="0"/>
                <w:sz w:val="18"/>
                <w:szCs w:val="18"/>
              </w:rPr>
              <w:t>55</w:t>
            </w:r>
          </w:p>
        </w:tc>
        <w:tc>
          <w:tcPr>
            <w:tcW w:w="25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手机连接器</w:t>
            </w:r>
            <w:r>
              <w:rPr>
                <w:rFonts w:ascii="宋体" w:hAnsi="宋体" w:cs="宋体"/>
                <w:kern w:val="0"/>
                <w:sz w:val="18"/>
                <w:szCs w:val="18"/>
              </w:rPr>
              <w:t>/</w:t>
            </w:r>
            <w:r>
              <w:rPr>
                <w:rFonts w:hint="eastAsia" w:ascii="宋体" w:hAnsi="宋体" w:cs="宋体"/>
                <w:kern w:val="0"/>
                <w:sz w:val="18"/>
                <w:szCs w:val="18"/>
              </w:rPr>
              <w:t>端子、接线座</w:t>
            </w:r>
          </w:p>
        </w:tc>
        <w:tc>
          <w:tcPr>
            <w:tcW w:w="18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立讯精密、长盈精密</w:t>
            </w:r>
          </w:p>
        </w:tc>
        <w:tc>
          <w:tcPr>
            <w:tcW w:w="3947"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年产</w:t>
            </w:r>
            <w:r>
              <w:rPr>
                <w:rFonts w:ascii="宋体" w:hAnsi="宋体" w:cs="宋体"/>
                <w:kern w:val="0"/>
                <w:sz w:val="18"/>
                <w:szCs w:val="18"/>
              </w:rPr>
              <w:t>1500</w:t>
            </w:r>
            <w:r>
              <w:rPr>
                <w:rFonts w:hint="eastAsia" w:ascii="宋体" w:hAnsi="宋体" w:cs="宋体"/>
                <w:kern w:val="0"/>
                <w:sz w:val="18"/>
                <w:szCs w:val="18"/>
              </w:rPr>
              <w:t>万套机连接器</w:t>
            </w:r>
            <w:r>
              <w:rPr>
                <w:rFonts w:ascii="宋体" w:hAnsi="宋体" w:cs="宋体"/>
                <w:kern w:val="0"/>
                <w:sz w:val="18"/>
                <w:szCs w:val="18"/>
              </w:rPr>
              <w:t>/</w:t>
            </w:r>
            <w:r>
              <w:rPr>
                <w:rFonts w:hint="eastAsia" w:ascii="宋体" w:hAnsi="宋体" w:cs="宋体"/>
                <w:kern w:val="0"/>
                <w:sz w:val="18"/>
                <w:szCs w:val="18"/>
              </w:rPr>
              <w:t>端子台</w:t>
            </w:r>
            <w:r>
              <w:rPr>
                <w:rFonts w:ascii="宋体" w:hAnsi="宋体" w:cs="宋体"/>
                <w:kern w:val="0"/>
                <w:sz w:val="18"/>
                <w:szCs w:val="18"/>
              </w:rPr>
              <w:t>/</w:t>
            </w:r>
            <w:r>
              <w:rPr>
                <w:rFonts w:hint="eastAsia" w:ascii="宋体" w:hAnsi="宋体" w:cs="宋体"/>
                <w:kern w:val="0"/>
                <w:sz w:val="18"/>
                <w:szCs w:val="18"/>
              </w:rPr>
              <w:t>接线座</w:t>
            </w:r>
          </w:p>
        </w:tc>
        <w:tc>
          <w:tcPr>
            <w:tcW w:w="1190"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9,500</w:t>
            </w:r>
          </w:p>
        </w:tc>
        <w:tc>
          <w:tcPr>
            <w:tcW w:w="1148"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15,000</w:t>
            </w:r>
          </w:p>
        </w:tc>
        <w:tc>
          <w:tcPr>
            <w:tcW w:w="1217"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电子信息</w:t>
            </w:r>
          </w:p>
        </w:tc>
        <w:tc>
          <w:tcPr>
            <w:tcW w:w="1442"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上杭县工业园</w:t>
            </w:r>
          </w:p>
        </w:tc>
      </w:tr>
      <w:tr>
        <w:trPr>
          <w:trHeight w:val="450" w:hRule="atLeast"/>
        </w:trPr>
        <w:tc>
          <w:tcPr>
            <w:tcW w:w="560" w:type="dxa"/>
            <w:tcBorders>
              <w:top w:val="nil"/>
              <w:left w:val="single" w:color="auto" w:sz="4" w:space="0"/>
              <w:bottom w:val="single" w:color="auto" w:sz="4" w:space="0"/>
              <w:right w:val="single" w:color="auto" w:sz="4" w:space="0"/>
            </w:tcBorders>
            <w:shd w:val="clear" w:color="000000" w:fill="D9D9D9"/>
            <w:vAlign w:val="center"/>
          </w:tcPr>
          <w:p>
            <w:pPr>
              <w:widowControl/>
              <w:jc w:val="center"/>
              <w:rPr>
                <w:rFonts w:ascii="宋体" w:cs="Times New Roman"/>
                <w:b/>
                <w:bCs/>
                <w:kern w:val="0"/>
                <w:sz w:val="18"/>
                <w:szCs w:val="18"/>
              </w:rPr>
            </w:pPr>
            <w:r>
              <w:rPr>
                <w:rFonts w:ascii="宋体" w:hAnsi="宋体" w:cs="宋体"/>
                <w:b/>
                <w:bCs/>
                <w:kern w:val="0"/>
                <w:sz w:val="18"/>
                <w:szCs w:val="18"/>
              </w:rPr>
              <w:t>56</w:t>
            </w:r>
          </w:p>
        </w:tc>
        <w:tc>
          <w:tcPr>
            <w:tcW w:w="25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印刷板连接器、电缆连接器</w:t>
            </w:r>
          </w:p>
        </w:tc>
        <w:tc>
          <w:tcPr>
            <w:tcW w:w="18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立讯精密、长盈精密</w:t>
            </w:r>
          </w:p>
        </w:tc>
        <w:tc>
          <w:tcPr>
            <w:tcW w:w="3947"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年产</w:t>
            </w:r>
            <w:r>
              <w:rPr>
                <w:rFonts w:ascii="宋体" w:hAnsi="宋体" w:cs="宋体"/>
                <w:kern w:val="0"/>
                <w:sz w:val="18"/>
                <w:szCs w:val="18"/>
              </w:rPr>
              <w:t>500</w:t>
            </w:r>
            <w:r>
              <w:rPr>
                <w:rFonts w:hint="eastAsia" w:ascii="宋体" w:hAnsi="宋体" w:cs="宋体"/>
                <w:kern w:val="0"/>
                <w:sz w:val="18"/>
                <w:szCs w:val="18"/>
              </w:rPr>
              <w:t>万套机连接器</w:t>
            </w:r>
            <w:r>
              <w:rPr>
                <w:rFonts w:ascii="宋体" w:hAnsi="宋体" w:cs="宋体"/>
                <w:kern w:val="0"/>
                <w:sz w:val="18"/>
                <w:szCs w:val="18"/>
              </w:rPr>
              <w:t>/</w:t>
            </w:r>
            <w:r>
              <w:rPr>
                <w:rFonts w:hint="eastAsia" w:ascii="宋体" w:hAnsi="宋体" w:cs="宋体"/>
                <w:kern w:val="0"/>
                <w:sz w:val="18"/>
                <w:szCs w:val="18"/>
              </w:rPr>
              <w:t>端子台</w:t>
            </w:r>
            <w:r>
              <w:rPr>
                <w:rFonts w:ascii="宋体" w:hAnsi="宋体" w:cs="宋体"/>
                <w:kern w:val="0"/>
                <w:sz w:val="18"/>
                <w:szCs w:val="18"/>
              </w:rPr>
              <w:t>/</w:t>
            </w:r>
            <w:r>
              <w:rPr>
                <w:rFonts w:hint="eastAsia" w:ascii="宋体" w:hAnsi="宋体" w:cs="宋体"/>
                <w:kern w:val="0"/>
                <w:sz w:val="18"/>
                <w:szCs w:val="18"/>
              </w:rPr>
              <w:t>接线座</w:t>
            </w:r>
          </w:p>
        </w:tc>
        <w:tc>
          <w:tcPr>
            <w:tcW w:w="1190"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35,000</w:t>
            </w:r>
          </w:p>
        </w:tc>
        <w:tc>
          <w:tcPr>
            <w:tcW w:w="1148"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55,000</w:t>
            </w:r>
          </w:p>
        </w:tc>
        <w:tc>
          <w:tcPr>
            <w:tcW w:w="1217"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电子信息</w:t>
            </w:r>
          </w:p>
        </w:tc>
        <w:tc>
          <w:tcPr>
            <w:tcW w:w="1442"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上杭县工业园</w:t>
            </w:r>
          </w:p>
        </w:tc>
      </w:tr>
      <w:tr>
        <w:trPr>
          <w:trHeight w:val="270" w:hRule="atLeast"/>
        </w:trPr>
        <w:tc>
          <w:tcPr>
            <w:tcW w:w="560" w:type="dxa"/>
            <w:tcBorders>
              <w:top w:val="nil"/>
              <w:left w:val="single" w:color="auto" w:sz="4" w:space="0"/>
              <w:bottom w:val="single" w:color="auto" w:sz="4" w:space="0"/>
              <w:right w:val="single" w:color="auto" w:sz="4" w:space="0"/>
            </w:tcBorders>
            <w:shd w:val="clear" w:color="000000" w:fill="D9D9D9"/>
            <w:vAlign w:val="center"/>
          </w:tcPr>
          <w:p>
            <w:pPr>
              <w:widowControl/>
              <w:jc w:val="center"/>
              <w:rPr>
                <w:rFonts w:ascii="宋体" w:cs="Times New Roman"/>
                <w:b/>
                <w:bCs/>
                <w:kern w:val="0"/>
                <w:sz w:val="18"/>
                <w:szCs w:val="18"/>
              </w:rPr>
            </w:pPr>
            <w:r>
              <w:rPr>
                <w:rFonts w:ascii="宋体" w:hAnsi="宋体" w:cs="宋体"/>
                <w:b/>
                <w:bCs/>
                <w:kern w:val="0"/>
                <w:sz w:val="18"/>
                <w:szCs w:val="18"/>
              </w:rPr>
              <w:t>57</w:t>
            </w:r>
          </w:p>
        </w:tc>
        <w:tc>
          <w:tcPr>
            <w:tcW w:w="25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屏蔽通信电缆</w:t>
            </w:r>
          </w:p>
        </w:tc>
        <w:tc>
          <w:tcPr>
            <w:tcW w:w="18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深圳秋叶源</w:t>
            </w:r>
          </w:p>
        </w:tc>
        <w:tc>
          <w:tcPr>
            <w:tcW w:w="3947"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年产</w:t>
            </w:r>
            <w:r>
              <w:rPr>
                <w:rFonts w:ascii="宋体" w:hAnsi="宋体" w:cs="宋体"/>
                <w:kern w:val="0"/>
                <w:sz w:val="18"/>
                <w:szCs w:val="18"/>
              </w:rPr>
              <w:t>1200</w:t>
            </w:r>
            <w:r>
              <w:rPr>
                <w:rFonts w:hint="eastAsia" w:ascii="宋体" w:hAnsi="宋体" w:cs="宋体"/>
                <w:kern w:val="0"/>
                <w:sz w:val="18"/>
                <w:szCs w:val="18"/>
              </w:rPr>
              <w:t>公里屏蔽通信电缆</w:t>
            </w:r>
          </w:p>
        </w:tc>
        <w:tc>
          <w:tcPr>
            <w:tcW w:w="1190"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55,000</w:t>
            </w:r>
          </w:p>
        </w:tc>
        <w:tc>
          <w:tcPr>
            <w:tcW w:w="1148"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72,000</w:t>
            </w:r>
          </w:p>
        </w:tc>
        <w:tc>
          <w:tcPr>
            <w:tcW w:w="1217"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电子信息</w:t>
            </w:r>
          </w:p>
        </w:tc>
        <w:tc>
          <w:tcPr>
            <w:tcW w:w="1442"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上杭县工业园</w:t>
            </w:r>
          </w:p>
        </w:tc>
      </w:tr>
      <w:tr>
        <w:trPr>
          <w:trHeight w:val="450" w:hRule="atLeast"/>
        </w:trPr>
        <w:tc>
          <w:tcPr>
            <w:tcW w:w="560" w:type="dxa"/>
            <w:tcBorders>
              <w:top w:val="nil"/>
              <w:left w:val="single" w:color="auto" w:sz="4" w:space="0"/>
              <w:bottom w:val="single" w:color="auto" w:sz="4" w:space="0"/>
              <w:right w:val="single" w:color="auto" w:sz="4" w:space="0"/>
            </w:tcBorders>
            <w:shd w:val="clear" w:color="000000" w:fill="D9D9D9"/>
            <w:vAlign w:val="center"/>
          </w:tcPr>
          <w:p>
            <w:pPr>
              <w:widowControl/>
              <w:jc w:val="center"/>
              <w:rPr>
                <w:rFonts w:ascii="宋体" w:cs="Times New Roman"/>
                <w:b/>
                <w:bCs/>
                <w:kern w:val="0"/>
                <w:sz w:val="18"/>
                <w:szCs w:val="18"/>
              </w:rPr>
            </w:pPr>
            <w:r>
              <w:rPr>
                <w:rFonts w:ascii="宋体" w:hAnsi="宋体" w:cs="宋体"/>
                <w:b/>
                <w:bCs/>
                <w:kern w:val="0"/>
                <w:sz w:val="18"/>
                <w:szCs w:val="18"/>
              </w:rPr>
              <w:t>58</w:t>
            </w:r>
          </w:p>
        </w:tc>
        <w:tc>
          <w:tcPr>
            <w:tcW w:w="25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年产</w:t>
            </w:r>
            <w:r>
              <w:rPr>
                <w:rFonts w:ascii="宋体" w:hAnsi="宋体" w:cs="宋体"/>
                <w:kern w:val="0"/>
                <w:sz w:val="18"/>
                <w:szCs w:val="18"/>
              </w:rPr>
              <w:t>3</w:t>
            </w:r>
            <w:r>
              <w:rPr>
                <w:rFonts w:hint="eastAsia" w:ascii="宋体" w:hAnsi="宋体" w:cs="宋体"/>
                <w:kern w:val="0"/>
                <w:sz w:val="18"/>
                <w:szCs w:val="18"/>
              </w:rPr>
              <w:t>万吨高精电子铜带（箔）生产项目</w:t>
            </w:r>
          </w:p>
        </w:tc>
        <w:tc>
          <w:tcPr>
            <w:tcW w:w="18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招商引资</w:t>
            </w:r>
          </w:p>
        </w:tc>
        <w:tc>
          <w:tcPr>
            <w:tcW w:w="3947"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年产</w:t>
            </w:r>
            <w:r>
              <w:rPr>
                <w:rFonts w:ascii="宋体" w:hAnsi="宋体" w:cs="宋体"/>
                <w:kern w:val="0"/>
                <w:sz w:val="18"/>
                <w:szCs w:val="18"/>
              </w:rPr>
              <w:t>2</w:t>
            </w:r>
            <w:r>
              <w:rPr>
                <w:rFonts w:hint="eastAsia" w:ascii="宋体" w:hAnsi="宋体" w:cs="宋体"/>
                <w:kern w:val="0"/>
                <w:sz w:val="18"/>
                <w:szCs w:val="18"/>
              </w:rPr>
              <w:t>万吨高精铜带、</w:t>
            </w:r>
            <w:r>
              <w:rPr>
                <w:rFonts w:ascii="宋体" w:hAnsi="宋体" w:cs="宋体"/>
                <w:kern w:val="0"/>
                <w:sz w:val="18"/>
                <w:szCs w:val="18"/>
              </w:rPr>
              <w:t>1</w:t>
            </w:r>
            <w:r>
              <w:rPr>
                <w:rFonts w:hint="eastAsia" w:ascii="宋体" w:hAnsi="宋体" w:cs="宋体"/>
                <w:kern w:val="0"/>
                <w:sz w:val="18"/>
                <w:szCs w:val="18"/>
              </w:rPr>
              <w:t>万吨压延铜箔生产项目</w:t>
            </w:r>
          </w:p>
        </w:tc>
        <w:tc>
          <w:tcPr>
            <w:tcW w:w="1190"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100,000</w:t>
            </w:r>
          </w:p>
        </w:tc>
        <w:tc>
          <w:tcPr>
            <w:tcW w:w="1148"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260,000</w:t>
            </w:r>
          </w:p>
        </w:tc>
        <w:tc>
          <w:tcPr>
            <w:tcW w:w="1217"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电子信息</w:t>
            </w:r>
          </w:p>
        </w:tc>
        <w:tc>
          <w:tcPr>
            <w:tcW w:w="1442"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上杭县工业园</w:t>
            </w:r>
          </w:p>
        </w:tc>
      </w:tr>
      <w:tr>
        <w:trPr>
          <w:trHeight w:val="450" w:hRule="atLeast"/>
        </w:trPr>
        <w:tc>
          <w:tcPr>
            <w:tcW w:w="560" w:type="dxa"/>
            <w:tcBorders>
              <w:top w:val="nil"/>
              <w:left w:val="single" w:color="auto" w:sz="4" w:space="0"/>
              <w:bottom w:val="single" w:color="auto" w:sz="4" w:space="0"/>
              <w:right w:val="single" w:color="auto" w:sz="4" w:space="0"/>
            </w:tcBorders>
            <w:shd w:val="clear" w:color="000000" w:fill="D9D9D9"/>
            <w:vAlign w:val="center"/>
          </w:tcPr>
          <w:p>
            <w:pPr>
              <w:widowControl/>
              <w:jc w:val="center"/>
              <w:rPr>
                <w:rFonts w:ascii="宋体" w:cs="Times New Roman"/>
                <w:b/>
                <w:bCs/>
                <w:kern w:val="0"/>
                <w:sz w:val="18"/>
                <w:szCs w:val="18"/>
              </w:rPr>
            </w:pPr>
            <w:r>
              <w:rPr>
                <w:rFonts w:ascii="宋体" w:hAnsi="宋体" w:cs="宋体"/>
                <w:b/>
                <w:bCs/>
                <w:kern w:val="0"/>
                <w:sz w:val="18"/>
                <w:szCs w:val="18"/>
              </w:rPr>
              <w:t>59</w:t>
            </w:r>
          </w:p>
        </w:tc>
        <w:tc>
          <w:tcPr>
            <w:tcW w:w="25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高强高导铜合金材料生产项目</w:t>
            </w:r>
          </w:p>
        </w:tc>
        <w:tc>
          <w:tcPr>
            <w:tcW w:w="18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博威合金、南海国东</w:t>
            </w:r>
          </w:p>
        </w:tc>
        <w:tc>
          <w:tcPr>
            <w:tcW w:w="3947" w:type="dxa"/>
            <w:tcBorders>
              <w:top w:val="nil"/>
              <w:left w:val="nil"/>
              <w:bottom w:val="single" w:color="auto" w:sz="4" w:space="0"/>
              <w:right w:val="single" w:color="auto" w:sz="4" w:space="0"/>
            </w:tcBorders>
            <w:shd w:val="clear" w:color="000000" w:fill="FFFFFF"/>
            <w:vAlign w:val="center"/>
          </w:tcPr>
          <w:p>
            <w:pPr>
              <w:widowControl/>
              <w:spacing w:line="260" w:lineRule="exact"/>
              <w:jc w:val="left"/>
              <w:rPr>
                <w:rFonts w:ascii="宋体" w:cs="Times New Roman"/>
                <w:kern w:val="0"/>
                <w:sz w:val="18"/>
                <w:szCs w:val="18"/>
              </w:rPr>
            </w:pPr>
            <w:r>
              <w:rPr>
                <w:rFonts w:hint="eastAsia" w:ascii="宋体" w:hAnsi="宋体" w:cs="宋体"/>
                <w:kern w:val="0"/>
                <w:sz w:val="18"/>
                <w:szCs w:val="18"/>
              </w:rPr>
              <w:t>建设年产</w:t>
            </w:r>
            <w:r>
              <w:rPr>
                <w:rFonts w:ascii="宋体" w:hAnsi="宋体" w:cs="宋体"/>
                <w:kern w:val="0"/>
                <w:sz w:val="18"/>
                <w:szCs w:val="18"/>
              </w:rPr>
              <w:t>1000</w:t>
            </w:r>
            <w:r>
              <w:rPr>
                <w:rFonts w:hint="eastAsia" w:ascii="宋体" w:hAnsi="宋体" w:cs="宋体"/>
                <w:kern w:val="0"/>
                <w:sz w:val="18"/>
                <w:szCs w:val="18"/>
              </w:rPr>
              <w:t>吨铜铬锆铜板，</w:t>
            </w:r>
            <w:r>
              <w:rPr>
                <w:rFonts w:ascii="宋体" w:hAnsi="宋体" w:cs="宋体"/>
                <w:kern w:val="0"/>
                <w:sz w:val="18"/>
                <w:szCs w:val="18"/>
              </w:rPr>
              <w:t>3000</w:t>
            </w:r>
            <w:r>
              <w:rPr>
                <w:rFonts w:hint="eastAsia" w:ascii="宋体" w:hAnsi="宋体" w:cs="宋体"/>
                <w:kern w:val="0"/>
                <w:sz w:val="18"/>
                <w:szCs w:val="18"/>
              </w:rPr>
              <w:t>吨铜铬锆棒材生产线。</w:t>
            </w:r>
          </w:p>
        </w:tc>
        <w:tc>
          <w:tcPr>
            <w:tcW w:w="1190"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30,000</w:t>
            </w:r>
          </w:p>
        </w:tc>
        <w:tc>
          <w:tcPr>
            <w:tcW w:w="1148"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60,000</w:t>
            </w:r>
          </w:p>
        </w:tc>
        <w:tc>
          <w:tcPr>
            <w:tcW w:w="1217"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电子信息</w:t>
            </w:r>
          </w:p>
        </w:tc>
        <w:tc>
          <w:tcPr>
            <w:tcW w:w="1442"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上杭县工业园</w:t>
            </w:r>
          </w:p>
        </w:tc>
      </w:tr>
      <w:tr>
        <w:trPr>
          <w:trHeight w:val="675" w:hRule="atLeast"/>
        </w:trPr>
        <w:tc>
          <w:tcPr>
            <w:tcW w:w="560" w:type="dxa"/>
            <w:tcBorders>
              <w:top w:val="nil"/>
              <w:left w:val="single" w:color="auto" w:sz="4" w:space="0"/>
              <w:bottom w:val="single" w:color="auto" w:sz="4" w:space="0"/>
              <w:right w:val="single" w:color="auto" w:sz="4" w:space="0"/>
            </w:tcBorders>
            <w:shd w:val="clear" w:color="000000" w:fill="D9D9D9"/>
            <w:vAlign w:val="center"/>
          </w:tcPr>
          <w:p>
            <w:pPr>
              <w:widowControl/>
              <w:jc w:val="center"/>
              <w:rPr>
                <w:rFonts w:ascii="宋体" w:cs="Times New Roman"/>
                <w:b/>
                <w:bCs/>
                <w:kern w:val="0"/>
                <w:sz w:val="18"/>
                <w:szCs w:val="18"/>
              </w:rPr>
            </w:pPr>
            <w:r>
              <w:rPr>
                <w:rFonts w:ascii="宋体" w:hAnsi="宋体" w:cs="宋体"/>
                <w:b/>
                <w:bCs/>
                <w:kern w:val="0"/>
                <w:sz w:val="18"/>
                <w:szCs w:val="18"/>
              </w:rPr>
              <w:t>60</w:t>
            </w:r>
          </w:p>
        </w:tc>
        <w:tc>
          <w:tcPr>
            <w:tcW w:w="25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高密度集成电路引线框架和</w:t>
            </w:r>
            <w:r>
              <w:rPr>
                <w:rFonts w:ascii="宋体" w:hAnsi="宋体" w:cs="宋体"/>
                <w:kern w:val="0"/>
                <w:sz w:val="18"/>
                <w:szCs w:val="18"/>
              </w:rPr>
              <w:t>LED</w:t>
            </w:r>
            <w:r>
              <w:rPr>
                <w:rFonts w:hint="eastAsia" w:ascii="宋体" w:hAnsi="宋体" w:cs="宋体"/>
                <w:kern w:val="0"/>
                <w:sz w:val="18"/>
                <w:szCs w:val="18"/>
              </w:rPr>
              <w:t>框架生产项目</w:t>
            </w:r>
          </w:p>
        </w:tc>
        <w:tc>
          <w:tcPr>
            <w:tcW w:w="18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招商引资</w:t>
            </w:r>
          </w:p>
        </w:tc>
        <w:tc>
          <w:tcPr>
            <w:tcW w:w="3947" w:type="dxa"/>
            <w:tcBorders>
              <w:top w:val="nil"/>
              <w:left w:val="nil"/>
              <w:bottom w:val="single" w:color="auto" w:sz="4" w:space="0"/>
              <w:right w:val="single" w:color="auto" w:sz="4" w:space="0"/>
            </w:tcBorders>
            <w:shd w:val="clear" w:color="000000" w:fill="FFFFFF"/>
            <w:vAlign w:val="center"/>
          </w:tcPr>
          <w:p>
            <w:pPr>
              <w:widowControl/>
              <w:spacing w:line="260" w:lineRule="exact"/>
              <w:jc w:val="left"/>
              <w:rPr>
                <w:rFonts w:ascii="宋体" w:cs="Times New Roman"/>
                <w:kern w:val="0"/>
                <w:sz w:val="18"/>
                <w:szCs w:val="18"/>
              </w:rPr>
            </w:pPr>
            <w:r>
              <w:rPr>
                <w:rFonts w:hint="eastAsia" w:ascii="宋体" w:hAnsi="宋体" w:cs="宋体"/>
                <w:kern w:val="0"/>
                <w:sz w:val="18"/>
                <w:szCs w:val="18"/>
              </w:rPr>
              <w:t>建设年产</w:t>
            </w:r>
            <w:r>
              <w:rPr>
                <w:rFonts w:ascii="宋体" w:hAnsi="宋体" w:cs="宋体"/>
                <w:kern w:val="0"/>
                <w:sz w:val="18"/>
                <w:szCs w:val="18"/>
              </w:rPr>
              <w:t>5000</w:t>
            </w:r>
            <w:r>
              <w:rPr>
                <w:rFonts w:hint="eastAsia" w:ascii="宋体" w:hAnsi="宋体" w:cs="宋体"/>
                <w:kern w:val="0"/>
                <w:sz w:val="18"/>
                <w:szCs w:val="18"/>
              </w:rPr>
              <w:t>万块高密度集成电路引线框架（</w:t>
            </w:r>
            <w:r>
              <w:rPr>
                <w:rFonts w:ascii="宋体" w:hAnsi="宋体" w:cs="宋体"/>
                <w:kern w:val="0"/>
                <w:sz w:val="18"/>
                <w:szCs w:val="18"/>
              </w:rPr>
              <w:t>QFN</w:t>
            </w:r>
            <w:r>
              <w:rPr>
                <w:rFonts w:hint="eastAsia" w:ascii="宋体" w:hAnsi="宋体" w:cs="宋体"/>
                <w:kern w:val="0"/>
                <w:sz w:val="18"/>
                <w:szCs w:val="18"/>
              </w:rPr>
              <w:t>）生产线和年产</w:t>
            </w:r>
            <w:r>
              <w:rPr>
                <w:rFonts w:ascii="宋体" w:hAnsi="宋体" w:cs="宋体"/>
                <w:kern w:val="0"/>
                <w:sz w:val="18"/>
                <w:szCs w:val="18"/>
              </w:rPr>
              <w:t>50</w:t>
            </w:r>
            <w:r>
              <w:rPr>
                <w:rFonts w:hint="eastAsia" w:ascii="宋体" w:hAnsi="宋体" w:cs="宋体"/>
                <w:kern w:val="0"/>
                <w:sz w:val="18"/>
                <w:szCs w:val="18"/>
              </w:rPr>
              <w:t>亿只平面阵列式</w:t>
            </w:r>
            <w:r>
              <w:rPr>
                <w:rFonts w:ascii="宋体" w:hAnsi="宋体" w:cs="宋体"/>
                <w:kern w:val="0"/>
                <w:sz w:val="18"/>
                <w:szCs w:val="18"/>
              </w:rPr>
              <w:t>LED</w:t>
            </w:r>
            <w:r>
              <w:rPr>
                <w:rFonts w:hint="eastAsia" w:ascii="宋体" w:hAnsi="宋体" w:cs="宋体"/>
                <w:kern w:val="0"/>
                <w:sz w:val="18"/>
                <w:szCs w:val="18"/>
              </w:rPr>
              <w:t>框架生产线</w:t>
            </w:r>
          </w:p>
        </w:tc>
        <w:tc>
          <w:tcPr>
            <w:tcW w:w="1190"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78,000</w:t>
            </w:r>
          </w:p>
        </w:tc>
        <w:tc>
          <w:tcPr>
            <w:tcW w:w="1148"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60,000</w:t>
            </w:r>
          </w:p>
        </w:tc>
        <w:tc>
          <w:tcPr>
            <w:tcW w:w="1217"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电子信息</w:t>
            </w:r>
          </w:p>
        </w:tc>
        <w:tc>
          <w:tcPr>
            <w:tcW w:w="1442"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上杭县工业园</w:t>
            </w:r>
          </w:p>
        </w:tc>
      </w:tr>
      <w:tr>
        <w:trPr>
          <w:trHeight w:val="450" w:hRule="atLeast"/>
        </w:trPr>
        <w:tc>
          <w:tcPr>
            <w:tcW w:w="560" w:type="dxa"/>
            <w:tcBorders>
              <w:top w:val="nil"/>
              <w:left w:val="single" w:color="auto" w:sz="4" w:space="0"/>
              <w:bottom w:val="single" w:color="auto" w:sz="4" w:space="0"/>
              <w:right w:val="single" w:color="auto" w:sz="4" w:space="0"/>
            </w:tcBorders>
            <w:shd w:val="clear" w:color="000000" w:fill="D9D9D9"/>
            <w:vAlign w:val="center"/>
          </w:tcPr>
          <w:p>
            <w:pPr>
              <w:widowControl/>
              <w:jc w:val="center"/>
              <w:rPr>
                <w:rFonts w:ascii="宋体" w:cs="Times New Roman"/>
                <w:b/>
                <w:bCs/>
                <w:kern w:val="0"/>
                <w:sz w:val="18"/>
                <w:szCs w:val="18"/>
              </w:rPr>
            </w:pPr>
            <w:r>
              <w:rPr>
                <w:rFonts w:ascii="宋体" w:hAnsi="宋体" w:cs="宋体"/>
                <w:b/>
                <w:bCs/>
                <w:kern w:val="0"/>
                <w:sz w:val="18"/>
                <w:szCs w:val="18"/>
              </w:rPr>
              <w:t>61</w:t>
            </w:r>
          </w:p>
        </w:tc>
        <w:tc>
          <w:tcPr>
            <w:tcW w:w="25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电子级磷铜球生产项目</w:t>
            </w:r>
          </w:p>
        </w:tc>
        <w:tc>
          <w:tcPr>
            <w:tcW w:w="18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招商引资</w:t>
            </w:r>
          </w:p>
        </w:tc>
        <w:tc>
          <w:tcPr>
            <w:tcW w:w="3947"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年产</w:t>
            </w:r>
            <w:r>
              <w:rPr>
                <w:rFonts w:ascii="宋体" w:hAnsi="宋体" w:cs="宋体"/>
                <w:kern w:val="0"/>
                <w:sz w:val="18"/>
                <w:szCs w:val="18"/>
              </w:rPr>
              <w:t>4</w:t>
            </w:r>
            <w:r>
              <w:rPr>
                <w:rFonts w:hint="eastAsia" w:ascii="宋体" w:hAnsi="宋体" w:cs="宋体"/>
                <w:kern w:val="0"/>
                <w:sz w:val="18"/>
                <w:szCs w:val="18"/>
              </w:rPr>
              <w:t>万吨阳极磷铜材项目</w:t>
            </w:r>
          </w:p>
        </w:tc>
        <w:tc>
          <w:tcPr>
            <w:tcW w:w="1190"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30,000</w:t>
            </w:r>
          </w:p>
        </w:tc>
        <w:tc>
          <w:tcPr>
            <w:tcW w:w="1148"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120,000</w:t>
            </w:r>
          </w:p>
        </w:tc>
        <w:tc>
          <w:tcPr>
            <w:tcW w:w="1217"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电子信息</w:t>
            </w:r>
          </w:p>
        </w:tc>
        <w:tc>
          <w:tcPr>
            <w:tcW w:w="1442"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上杭县工业园</w:t>
            </w:r>
          </w:p>
        </w:tc>
      </w:tr>
      <w:tr>
        <w:trPr>
          <w:trHeight w:val="450" w:hRule="atLeast"/>
        </w:trPr>
        <w:tc>
          <w:tcPr>
            <w:tcW w:w="560" w:type="dxa"/>
            <w:tcBorders>
              <w:top w:val="nil"/>
              <w:left w:val="single" w:color="auto" w:sz="4" w:space="0"/>
              <w:bottom w:val="single" w:color="auto" w:sz="4" w:space="0"/>
              <w:right w:val="single" w:color="auto" w:sz="4" w:space="0"/>
            </w:tcBorders>
            <w:shd w:val="clear" w:color="000000" w:fill="D9D9D9"/>
            <w:vAlign w:val="center"/>
          </w:tcPr>
          <w:p>
            <w:pPr>
              <w:widowControl/>
              <w:jc w:val="center"/>
              <w:rPr>
                <w:rFonts w:ascii="宋体" w:cs="Times New Roman"/>
                <w:b/>
                <w:bCs/>
                <w:kern w:val="0"/>
                <w:sz w:val="18"/>
                <w:szCs w:val="18"/>
              </w:rPr>
            </w:pPr>
            <w:r>
              <w:rPr>
                <w:rFonts w:ascii="宋体" w:hAnsi="宋体" w:cs="宋体"/>
                <w:b/>
                <w:bCs/>
                <w:kern w:val="0"/>
                <w:sz w:val="18"/>
                <w:szCs w:val="18"/>
              </w:rPr>
              <w:t>62</w:t>
            </w:r>
          </w:p>
        </w:tc>
        <w:tc>
          <w:tcPr>
            <w:tcW w:w="25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高性能聚四氟乙烯高频覆铜板生产项目</w:t>
            </w:r>
          </w:p>
        </w:tc>
        <w:tc>
          <w:tcPr>
            <w:tcW w:w="18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招商引资</w:t>
            </w:r>
          </w:p>
        </w:tc>
        <w:tc>
          <w:tcPr>
            <w:tcW w:w="3947"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年产</w:t>
            </w:r>
            <w:r>
              <w:rPr>
                <w:rFonts w:ascii="宋体" w:hAnsi="宋体" w:cs="宋体"/>
                <w:kern w:val="0"/>
                <w:sz w:val="18"/>
                <w:szCs w:val="18"/>
              </w:rPr>
              <w:t>30</w:t>
            </w:r>
            <w:r>
              <w:rPr>
                <w:rFonts w:hint="eastAsia" w:ascii="宋体" w:hAnsi="宋体" w:cs="宋体"/>
                <w:kern w:val="0"/>
                <w:sz w:val="18"/>
                <w:szCs w:val="18"/>
              </w:rPr>
              <w:t>万平方米高性能聚四氟乙烯高频覆铜板生产项目</w:t>
            </w:r>
          </w:p>
        </w:tc>
        <w:tc>
          <w:tcPr>
            <w:tcW w:w="1190"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80,000</w:t>
            </w:r>
          </w:p>
        </w:tc>
        <w:tc>
          <w:tcPr>
            <w:tcW w:w="1148"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100,000</w:t>
            </w:r>
          </w:p>
        </w:tc>
        <w:tc>
          <w:tcPr>
            <w:tcW w:w="1217"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电子信息</w:t>
            </w:r>
          </w:p>
        </w:tc>
        <w:tc>
          <w:tcPr>
            <w:tcW w:w="1442"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上杭县工业园</w:t>
            </w:r>
          </w:p>
        </w:tc>
      </w:tr>
      <w:tr>
        <w:trPr>
          <w:trHeight w:val="450" w:hRule="atLeast"/>
        </w:trPr>
        <w:tc>
          <w:tcPr>
            <w:tcW w:w="560" w:type="dxa"/>
            <w:tcBorders>
              <w:top w:val="nil"/>
              <w:left w:val="single" w:color="auto" w:sz="4" w:space="0"/>
              <w:bottom w:val="single" w:color="auto" w:sz="4" w:space="0"/>
              <w:right w:val="single" w:color="auto" w:sz="4" w:space="0"/>
            </w:tcBorders>
            <w:shd w:val="clear" w:color="000000" w:fill="D9D9D9"/>
            <w:vAlign w:val="center"/>
          </w:tcPr>
          <w:p>
            <w:pPr>
              <w:widowControl/>
              <w:jc w:val="center"/>
              <w:rPr>
                <w:rFonts w:ascii="宋体" w:cs="Times New Roman"/>
                <w:b/>
                <w:bCs/>
                <w:kern w:val="0"/>
                <w:sz w:val="18"/>
                <w:szCs w:val="18"/>
              </w:rPr>
            </w:pPr>
            <w:r>
              <w:rPr>
                <w:rFonts w:ascii="宋体" w:hAnsi="宋体" w:cs="宋体"/>
                <w:b/>
                <w:bCs/>
                <w:kern w:val="0"/>
                <w:sz w:val="18"/>
                <w:szCs w:val="18"/>
              </w:rPr>
              <w:t>63</w:t>
            </w:r>
          </w:p>
        </w:tc>
        <w:tc>
          <w:tcPr>
            <w:tcW w:w="25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高温合金材料生产项目</w:t>
            </w:r>
          </w:p>
        </w:tc>
        <w:tc>
          <w:tcPr>
            <w:tcW w:w="18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招商引资</w:t>
            </w:r>
          </w:p>
        </w:tc>
        <w:tc>
          <w:tcPr>
            <w:tcW w:w="3947"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年产</w:t>
            </w:r>
            <w:r>
              <w:rPr>
                <w:rFonts w:ascii="宋体" w:hAnsi="宋体" w:cs="宋体"/>
                <w:kern w:val="0"/>
                <w:sz w:val="18"/>
                <w:szCs w:val="18"/>
              </w:rPr>
              <w:t>800</w:t>
            </w:r>
            <w:r>
              <w:rPr>
                <w:rFonts w:hint="eastAsia" w:ascii="宋体" w:hAnsi="宋体" w:cs="宋体"/>
                <w:kern w:val="0"/>
                <w:sz w:val="18"/>
                <w:szCs w:val="18"/>
              </w:rPr>
              <w:t>吨高温合金材料项目</w:t>
            </w:r>
          </w:p>
        </w:tc>
        <w:tc>
          <w:tcPr>
            <w:tcW w:w="1190"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12,000</w:t>
            </w:r>
          </w:p>
        </w:tc>
        <w:tc>
          <w:tcPr>
            <w:tcW w:w="1148"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16,000</w:t>
            </w:r>
          </w:p>
        </w:tc>
        <w:tc>
          <w:tcPr>
            <w:tcW w:w="1217"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电子信息</w:t>
            </w:r>
          </w:p>
        </w:tc>
        <w:tc>
          <w:tcPr>
            <w:tcW w:w="1442"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上杭县工业园</w:t>
            </w:r>
          </w:p>
        </w:tc>
      </w:tr>
      <w:tr>
        <w:trPr>
          <w:trHeight w:val="450" w:hRule="atLeast"/>
        </w:trPr>
        <w:tc>
          <w:tcPr>
            <w:tcW w:w="560" w:type="dxa"/>
            <w:tcBorders>
              <w:top w:val="nil"/>
              <w:left w:val="single" w:color="auto" w:sz="4" w:space="0"/>
              <w:bottom w:val="single" w:color="auto" w:sz="4" w:space="0"/>
              <w:right w:val="single" w:color="auto" w:sz="4" w:space="0"/>
            </w:tcBorders>
            <w:shd w:val="clear" w:color="000000" w:fill="D9D9D9"/>
            <w:vAlign w:val="center"/>
          </w:tcPr>
          <w:p>
            <w:pPr>
              <w:widowControl/>
              <w:jc w:val="center"/>
              <w:rPr>
                <w:rFonts w:ascii="宋体" w:cs="Times New Roman"/>
                <w:b/>
                <w:bCs/>
                <w:kern w:val="0"/>
                <w:sz w:val="18"/>
                <w:szCs w:val="18"/>
              </w:rPr>
            </w:pPr>
            <w:r>
              <w:rPr>
                <w:rFonts w:ascii="宋体" w:hAnsi="宋体" w:cs="宋体"/>
                <w:b/>
                <w:bCs/>
                <w:kern w:val="0"/>
                <w:sz w:val="18"/>
                <w:szCs w:val="18"/>
              </w:rPr>
              <w:t>64</w:t>
            </w:r>
          </w:p>
        </w:tc>
        <w:tc>
          <w:tcPr>
            <w:tcW w:w="25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高温合金材料生产项目</w:t>
            </w:r>
          </w:p>
        </w:tc>
        <w:tc>
          <w:tcPr>
            <w:tcW w:w="18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招商引资</w:t>
            </w:r>
          </w:p>
        </w:tc>
        <w:tc>
          <w:tcPr>
            <w:tcW w:w="3947"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年产</w:t>
            </w:r>
            <w:r>
              <w:rPr>
                <w:rFonts w:ascii="宋体" w:hAnsi="宋体" w:cs="宋体"/>
                <w:kern w:val="0"/>
                <w:sz w:val="18"/>
                <w:szCs w:val="18"/>
              </w:rPr>
              <w:t>800</w:t>
            </w:r>
            <w:r>
              <w:rPr>
                <w:rFonts w:hint="eastAsia" w:ascii="宋体" w:hAnsi="宋体" w:cs="宋体"/>
                <w:kern w:val="0"/>
                <w:sz w:val="18"/>
                <w:szCs w:val="18"/>
              </w:rPr>
              <w:t>吨高温合金材料项目</w:t>
            </w:r>
          </w:p>
        </w:tc>
        <w:tc>
          <w:tcPr>
            <w:tcW w:w="1190"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12,000</w:t>
            </w:r>
          </w:p>
        </w:tc>
        <w:tc>
          <w:tcPr>
            <w:tcW w:w="1148"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16,000</w:t>
            </w:r>
          </w:p>
        </w:tc>
        <w:tc>
          <w:tcPr>
            <w:tcW w:w="1217"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电子信息</w:t>
            </w:r>
          </w:p>
        </w:tc>
        <w:tc>
          <w:tcPr>
            <w:tcW w:w="1442"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上杭县工业园</w:t>
            </w:r>
          </w:p>
        </w:tc>
      </w:tr>
      <w:tr>
        <w:trPr>
          <w:trHeight w:val="450" w:hRule="atLeast"/>
        </w:trPr>
        <w:tc>
          <w:tcPr>
            <w:tcW w:w="560" w:type="dxa"/>
            <w:tcBorders>
              <w:top w:val="nil"/>
              <w:left w:val="single" w:color="auto" w:sz="4" w:space="0"/>
              <w:bottom w:val="single" w:color="auto" w:sz="4" w:space="0"/>
              <w:right w:val="single" w:color="auto" w:sz="4" w:space="0"/>
            </w:tcBorders>
            <w:shd w:val="clear" w:color="000000" w:fill="D9D9D9"/>
            <w:vAlign w:val="center"/>
          </w:tcPr>
          <w:p>
            <w:pPr>
              <w:widowControl/>
              <w:jc w:val="center"/>
              <w:rPr>
                <w:rFonts w:ascii="宋体" w:cs="Times New Roman"/>
                <w:b/>
                <w:bCs/>
                <w:kern w:val="0"/>
                <w:sz w:val="18"/>
                <w:szCs w:val="18"/>
              </w:rPr>
            </w:pPr>
            <w:r>
              <w:rPr>
                <w:rFonts w:ascii="宋体" w:hAnsi="宋体" w:cs="宋体"/>
                <w:b/>
                <w:bCs/>
                <w:kern w:val="0"/>
                <w:sz w:val="18"/>
                <w:szCs w:val="18"/>
              </w:rPr>
              <w:t>65</w:t>
            </w:r>
          </w:p>
        </w:tc>
        <w:tc>
          <w:tcPr>
            <w:tcW w:w="25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高精无铅易切削黄铜棒、线项目</w:t>
            </w:r>
          </w:p>
        </w:tc>
        <w:tc>
          <w:tcPr>
            <w:tcW w:w="18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博威股份、南海国东</w:t>
            </w:r>
          </w:p>
        </w:tc>
        <w:tc>
          <w:tcPr>
            <w:tcW w:w="3947"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年产</w:t>
            </w:r>
            <w:r>
              <w:rPr>
                <w:rFonts w:ascii="宋体" w:hAnsi="宋体" w:cs="宋体"/>
                <w:kern w:val="0"/>
                <w:sz w:val="18"/>
                <w:szCs w:val="18"/>
              </w:rPr>
              <w:t>5</w:t>
            </w:r>
            <w:r>
              <w:rPr>
                <w:rFonts w:hint="eastAsia" w:ascii="宋体" w:hAnsi="宋体" w:cs="宋体"/>
                <w:kern w:val="0"/>
                <w:sz w:val="18"/>
                <w:szCs w:val="18"/>
              </w:rPr>
              <w:t>万吨高精无铅稀土硒铋铜合金棒、线项目</w:t>
            </w:r>
          </w:p>
        </w:tc>
        <w:tc>
          <w:tcPr>
            <w:tcW w:w="1190"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25,000</w:t>
            </w:r>
          </w:p>
        </w:tc>
        <w:tc>
          <w:tcPr>
            <w:tcW w:w="1148"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257,500</w:t>
            </w:r>
          </w:p>
        </w:tc>
        <w:tc>
          <w:tcPr>
            <w:tcW w:w="1217"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电子信息</w:t>
            </w:r>
          </w:p>
        </w:tc>
        <w:tc>
          <w:tcPr>
            <w:tcW w:w="1442"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上杭县工业园</w:t>
            </w:r>
          </w:p>
        </w:tc>
      </w:tr>
      <w:tr>
        <w:trPr>
          <w:trHeight w:val="450" w:hRule="atLeast"/>
        </w:trPr>
        <w:tc>
          <w:tcPr>
            <w:tcW w:w="560" w:type="dxa"/>
            <w:tcBorders>
              <w:top w:val="nil"/>
              <w:left w:val="single" w:color="auto" w:sz="4" w:space="0"/>
              <w:bottom w:val="single" w:color="auto" w:sz="4" w:space="0"/>
              <w:right w:val="single" w:color="auto" w:sz="4" w:space="0"/>
            </w:tcBorders>
            <w:shd w:val="clear" w:color="000000" w:fill="D9D9D9"/>
            <w:vAlign w:val="center"/>
          </w:tcPr>
          <w:p>
            <w:pPr>
              <w:widowControl/>
              <w:jc w:val="center"/>
              <w:rPr>
                <w:rFonts w:ascii="宋体" w:cs="Times New Roman"/>
                <w:b/>
                <w:bCs/>
                <w:kern w:val="0"/>
                <w:sz w:val="18"/>
                <w:szCs w:val="18"/>
              </w:rPr>
            </w:pPr>
            <w:r>
              <w:rPr>
                <w:rFonts w:ascii="宋体" w:hAnsi="宋体" w:cs="宋体"/>
                <w:b/>
                <w:bCs/>
                <w:kern w:val="0"/>
                <w:sz w:val="18"/>
                <w:szCs w:val="18"/>
              </w:rPr>
              <w:t>66</w:t>
            </w:r>
          </w:p>
        </w:tc>
        <w:tc>
          <w:tcPr>
            <w:tcW w:w="2562" w:type="dxa"/>
            <w:tcBorders>
              <w:top w:val="nil"/>
              <w:left w:val="nil"/>
              <w:bottom w:val="single" w:color="auto" w:sz="4" w:space="0"/>
              <w:right w:val="single" w:color="auto" w:sz="4" w:space="0"/>
            </w:tcBorders>
            <w:shd w:val="clear" w:color="000000" w:fill="FFFFFF"/>
            <w:vAlign w:val="center"/>
          </w:tcPr>
          <w:p>
            <w:pPr>
              <w:widowControl/>
              <w:spacing w:line="260" w:lineRule="exact"/>
              <w:jc w:val="left"/>
              <w:rPr>
                <w:rFonts w:ascii="宋体" w:cs="Times New Roman"/>
                <w:kern w:val="0"/>
                <w:sz w:val="18"/>
                <w:szCs w:val="18"/>
              </w:rPr>
            </w:pPr>
            <w:r>
              <w:rPr>
                <w:rFonts w:hint="eastAsia" w:ascii="宋体" w:hAnsi="宋体" w:cs="宋体"/>
                <w:kern w:val="0"/>
                <w:sz w:val="18"/>
                <w:szCs w:val="18"/>
              </w:rPr>
              <w:t>高效节能高翅片铜管、热管项目</w:t>
            </w:r>
          </w:p>
        </w:tc>
        <w:tc>
          <w:tcPr>
            <w:tcW w:w="1862" w:type="dxa"/>
            <w:tcBorders>
              <w:top w:val="nil"/>
              <w:left w:val="nil"/>
              <w:bottom w:val="single" w:color="auto" w:sz="4" w:space="0"/>
              <w:right w:val="single" w:color="auto" w:sz="4" w:space="0"/>
            </w:tcBorders>
            <w:shd w:val="clear" w:color="000000" w:fill="FFFFFF"/>
            <w:vAlign w:val="center"/>
          </w:tcPr>
          <w:p>
            <w:pPr>
              <w:widowControl/>
              <w:spacing w:line="260" w:lineRule="exact"/>
              <w:jc w:val="left"/>
              <w:rPr>
                <w:rFonts w:ascii="宋体" w:cs="Times New Roman"/>
                <w:kern w:val="0"/>
                <w:sz w:val="18"/>
                <w:szCs w:val="18"/>
              </w:rPr>
            </w:pPr>
            <w:r>
              <w:rPr>
                <w:rFonts w:hint="eastAsia" w:ascii="宋体" w:hAnsi="宋体" w:cs="宋体"/>
                <w:kern w:val="0"/>
                <w:sz w:val="18"/>
                <w:szCs w:val="18"/>
              </w:rPr>
              <w:t>福建紫金铜业、镇江天鸿新能源有限公司</w:t>
            </w:r>
          </w:p>
        </w:tc>
        <w:tc>
          <w:tcPr>
            <w:tcW w:w="3947"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年产</w:t>
            </w:r>
            <w:r>
              <w:rPr>
                <w:rFonts w:ascii="宋体" w:hAnsi="宋体" w:cs="宋体"/>
                <w:kern w:val="0"/>
                <w:sz w:val="18"/>
                <w:szCs w:val="18"/>
              </w:rPr>
              <w:t>5</w:t>
            </w:r>
            <w:r>
              <w:rPr>
                <w:rFonts w:hint="eastAsia" w:ascii="宋体" w:hAnsi="宋体" w:cs="宋体"/>
                <w:kern w:val="0"/>
                <w:sz w:val="18"/>
                <w:szCs w:val="18"/>
              </w:rPr>
              <w:t>万吨高效传热外翅片铜管、热管项目</w:t>
            </w:r>
          </w:p>
        </w:tc>
        <w:tc>
          <w:tcPr>
            <w:tcW w:w="1190"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20,000</w:t>
            </w:r>
          </w:p>
        </w:tc>
        <w:tc>
          <w:tcPr>
            <w:tcW w:w="1148"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280,000</w:t>
            </w:r>
          </w:p>
        </w:tc>
        <w:tc>
          <w:tcPr>
            <w:tcW w:w="1217"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电子信息</w:t>
            </w:r>
          </w:p>
        </w:tc>
        <w:tc>
          <w:tcPr>
            <w:tcW w:w="1442"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上杭县工业园</w:t>
            </w:r>
          </w:p>
        </w:tc>
      </w:tr>
      <w:tr>
        <w:trPr>
          <w:trHeight w:val="675" w:hRule="atLeast"/>
        </w:trPr>
        <w:tc>
          <w:tcPr>
            <w:tcW w:w="560" w:type="dxa"/>
            <w:tcBorders>
              <w:top w:val="nil"/>
              <w:left w:val="single" w:color="auto" w:sz="4" w:space="0"/>
              <w:bottom w:val="single" w:color="auto" w:sz="4" w:space="0"/>
              <w:right w:val="single" w:color="auto" w:sz="4" w:space="0"/>
            </w:tcBorders>
            <w:shd w:val="clear" w:color="000000" w:fill="D9D9D9"/>
            <w:vAlign w:val="center"/>
          </w:tcPr>
          <w:p>
            <w:pPr>
              <w:widowControl/>
              <w:jc w:val="center"/>
              <w:rPr>
                <w:rFonts w:ascii="宋体" w:cs="Times New Roman"/>
                <w:b/>
                <w:bCs/>
                <w:kern w:val="0"/>
                <w:sz w:val="18"/>
                <w:szCs w:val="18"/>
              </w:rPr>
            </w:pPr>
            <w:r>
              <w:rPr>
                <w:rFonts w:ascii="宋体" w:hAnsi="宋体" w:cs="宋体"/>
                <w:b/>
                <w:bCs/>
                <w:kern w:val="0"/>
                <w:sz w:val="18"/>
                <w:szCs w:val="18"/>
              </w:rPr>
              <w:t>67</w:t>
            </w:r>
          </w:p>
        </w:tc>
        <w:tc>
          <w:tcPr>
            <w:tcW w:w="25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高性能铜基复合材料生产项目</w:t>
            </w:r>
          </w:p>
        </w:tc>
        <w:tc>
          <w:tcPr>
            <w:tcW w:w="18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北京有研</w:t>
            </w:r>
          </w:p>
        </w:tc>
        <w:tc>
          <w:tcPr>
            <w:tcW w:w="3947" w:type="dxa"/>
            <w:tcBorders>
              <w:top w:val="nil"/>
              <w:left w:val="nil"/>
              <w:bottom w:val="single" w:color="auto" w:sz="4" w:space="0"/>
              <w:right w:val="single" w:color="auto" w:sz="4" w:space="0"/>
            </w:tcBorders>
            <w:shd w:val="clear" w:color="000000" w:fill="FFFFFF"/>
            <w:vAlign w:val="center"/>
          </w:tcPr>
          <w:p>
            <w:pPr>
              <w:widowControl/>
              <w:spacing w:line="260" w:lineRule="exact"/>
              <w:jc w:val="left"/>
              <w:rPr>
                <w:rFonts w:ascii="宋体" w:cs="Times New Roman"/>
                <w:kern w:val="0"/>
                <w:sz w:val="18"/>
                <w:szCs w:val="18"/>
              </w:rPr>
            </w:pPr>
            <w:r>
              <w:rPr>
                <w:rFonts w:hint="eastAsia" w:ascii="宋体" w:hAnsi="宋体" w:cs="宋体"/>
                <w:kern w:val="0"/>
                <w:sz w:val="18"/>
                <w:szCs w:val="18"/>
              </w:rPr>
              <w:t>建设</w:t>
            </w:r>
            <w:r>
              <w:rPr>
                <w:rFonts w:ascii="宋体" w:hAnsi="宋体" w:cs="宋体"/>
                <w:kern w:val="0"/>
                <w:sz w:val="18"/>
                <w:szCs w:val="18"/>
              </w:rPr>
              <w:t>1.5</w:t>
            </w:r>
            <w:r>
              <w:rPr>
                <w:rFonts w:hint="eastAsia" w:ascii="宋体" w:hAnsi="宋体" w:cs="宋体"/>
                <w:kern w:val="0"/>
                <w:sz w:val="18"/>
                <w:szCs w:val="18"/>
              </w:rPr>
              <w:t>万吨</w:t>
            </w:r>
            <w:r>
              <w:rPr>
                <w:rFonts w:ascii="宋体" w:hAnsi="宋体" w:cs="宋体"/>
                <w:kern w:val="0"/>
                <w:sz w:val="18"/>
                <w:szCs w:val="18"/>
              </w:rPr>
              <w:t>/</w:t>
            </w:r>
            <w:r>
              <w:rPr>
                <w:rFonts w:hint="eastAsia" w:ascii="宋体" w:hAnsi="宋体" w:cs="宋体"/>
                <w:kern w:val="0"/>
                <w:sz w:val="18"/>
                <w:szCs w:val="18"/>
              </w:rPr>
              <w:t>年高性能铜基复合材料、</w:t>
            </w:r>
            <w:r>
              <w:rPr>
                <w:rFonts w:ascii="宋体" w:hAnsi="宋体" w:cs="宋体"/>
                <w:kern w:val="0"/>
                <w:sz w:val="18"/>
                <w:szCs w:val="18"/>
              </w:rPr>
              <w:t>1000</w:t>
            </w:r>
            <w:r>
              <w:rPr>
                <w:rFonts w:hint="eastAsia" w:ascii="宋体" w:hAnsi="宋体" w:cs="宋体"/>
                <w:kern w:val="0"/>
                <w:sz w:val="18"/>
                <w:szCs w:val="18"/>
              </w:rPr>
              <w:t>吨</w:t>
            </w:r>
            <w:r>
              <w:rPr>
                <w:rFonts w:ascii="宋体" w:hAnsi="宋体" w:cs="宋体"/>
                <w:kern w:val="0"/>
                <w:sz w:val="18"/>
                <w:szCs w:val="18"/>
              </w:rPr>
              <w:t>/</w:t>
            </w:r>
            <w:r>
              <w:rPr>
                <w:rFonts w:hint="eastAsia" w:ascii="宋体" w:hAnsi="宋体" w:cs="宋体"/>
                <w:kern w:val="0"/>
                <w:sz w:val="18"/>
                <w:szCs w:val="18"/>
              </w:rPr>
              <w:t>年高性能铜基形状记忆合金生产线</w:t>
            </w:r>
          </w:p>
        </w:tc>
        <w:tc>
          <w:tcPr>
            <w:tcW w:w="1190"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110,000</w:t>
            </w:r>
          </w:p>
        </w:tc>
        <w:tc>
          <w:tcPr>
            <w:tcW w:w="1148"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96,000</w:t>
            </w:r>
          </w:p>
        </w:tc>
        <w:tc>
          <w:tcPr>
            <w:tcW w:w="1217"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电子信息</w:t>
            </w:r>
          </w:p>
        </w:tc>
        <w:tc>
          <w:tcPr>
            <w:tcW w:w="1442"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上杭县工业园</w:t>
            </w:r>
          </w:p>
        </w:tc>
      </w:tr>
      <w:tr>
        <w:trPr>
          <w:trHeight w:val="450" w:hRule="atLeast"/>
        </w:trPr>
        <w:tc>
          <w:tcPr>
            <w:tcW w:w="560" w:type="dxa"/>
            <w:tcBorders>
              <w:top w:val="nil"/>
              <w:left w:val="single" w:color="auto" w:sz="4" w:space="0"/>
              <w:bottom w:val="single" w:color="auto" w:sz="4" w:space="0"/>
              <w:right w:val="single" w:color="auto" w:sz="4" w:space="0"/>
            </w:tcBorders>
            <w:shd w:val="clear" w:color="000000" w:fill="D9D9D9"/>
            <w:vAlign w:val="center"/>
          </w:tcPr>
          <w:p>
            <w:pPr>
              <w:widowControl/>
              <w:jc w:val="center"/>
              <w:rPr>
                <w:rFonts w:ascii="宋体" w:cs="Times New Roman"/>
                <w:b/>
                <w:bCs/>
                <w:kern w:val="0"/>
                <w:sz w:val="18"/>
                <w:szCs w:val="18"/>
              </w:rPr>
            </w:pPr>
            <w:r>
              <w:rPr>
                <w:rFonts w:ascii="宋体" w:hAnsi="宋体" w:cs="宋体"/>
                <w:b/>
                <w:bCs/>
                <w:kern w:val="0"/>
                <w:sz w:val="18"/>
                <w:szCs w:val="18"/>
              </w:rPr>
              <w:t>68</w:t>
            </w:r>
          </w:p>
        </w:tc>
        <w:tc>
          <w:tcPr>
            <w:tcW w:w="25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高精压延（电解）铜箔</w:t>
            </w:r>
          </w:p>
        </w:tc>
        <w:tc>
          <w:tcPr>
            <w:tcW w:w="18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中铜公司</w:t>
            </w:r>
          </w:p>
        </w:tc>
        <w:tc>
          <w:tcPr>
            <w:tcW w:w="3947"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年产</w:t>
            </w:r>
            <w:r>
              <w:rPr>
                <w:rFonts w:ascii="宋体" w:hAnsi="宋体" w:cs="宋体"/>
                <w:kern w:val="0"/>
                <w:sz w:val="18"/>
                <w:szCs w:val="18"/>
              </w:rPr>
              <w:t>1</w:t>
            </w:r>
            <w:r>
              <w:rPr>
                <w:rFonts w:hint="eastAsia" w:ascii="宋体" w:hAnsi="宋体" w:cs="宋体"/>
                <w:kern w:val="0"/>
                <w:sz w:val="18"/>
                <w:szCs w:val="18"/>
              </w:rPr>
              <w:t>万吨高精压延铜箔</w:t>
            </w:r>
          </w:p>
        </w:tc>
        <w:tc>
          <w:tcPr>
            <w:tcW w:w="1190"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120,000</w:t>
            </w:r>
          </w:p>
        </w:tc>
        <w:tc>
          <w:tcPr>
            <w:tcW w:w="1148"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180,000</w:t>
            </w:r>
          </w:p>
        </w:tc>
        <w:tc>
          <w:tcPr>
            <w:tcW w:w="1217"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电子信息</w:t>
            </w:r>
          </w:p>
        </w:tc>
        <w:tc>
          <w:tcPr>
            <w:tcW w:w="1442"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上杭县工业园</w:t>
            </w:r>
          </w:p>
        </w:tc>
      </w:tr>
      <w:tr>
        <w:trPr>
          <w:trHeight w:val="270" w:hRule="atLeast"/>
        </w:trPr>
        <w:tc>
          <w:tcPr>
            <w:tcW w:w="560" w:type="dxa"/>
            <w:tcBorders>
              <w:top w:val="nil"/>
              <w:left w:val="single" w:color="auto" w:sz="4" w:space="0"/>
              <w:bottom w:val="single" w:color="auto" w:sz="4" w:space="0"/>
              <w:right w:val="single" w:color="auto" w:sz="4" w:space="0"/>
            </w:tcBorders>
            <w:shd w:val="clear" w:color="000000" w:fill="D9D9D9"/>
            <w:vAlign w:val="center"/>
          </w:tcPr>
          <w:p>
            <w:pPr>
              <w:widowControl/>
              <w:jc w:val="center"/>
              <w:rPr>
                <w:rFonts w:ascii="宋体" w:cs="Times New Roman"/>
                <w:b/>
                <w:bCs/>
                <w:kern w:val="0"/>
                <w:sz w:val="18"/>
                <w:szCs w:val="18"/>
              </w:rPr>
            </w:pPr>
            <w:r>
              <w:rPr>
                <w:rFonts w:ascii="宋体" w:hAnsi="宋体" w:cs="宋体"/>
                <w:b/>
                <w:bCs/>
                <w:kern w:val="0"/>
                <w:sz w:val="18"/>
                <w:szCs w:val="18"/>
              </w:rPr>
              <w:t>69</w:t>
            </w:r>
          </w:p>
        </w:tc>
        <w:tc>
          <w:tcPr>
            <w:tcW w:w="25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卫星通信传输设备</w:t>
            </w:r>
          </w:p>
        </w:tc>
        <w:tc>
          <w:tcPr>
            <w:tcW w:w="18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华为公司</w:t>
            </w:r>
          </w:p>
        </w:tc>
        <w:tc>
          <w:tcPr>
            <w:tcW w:w="3947"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年产</w:t>
            </w:r>
            <w:r>
              <w:rPr>
                <w:rFonts w:ascii="宋体" w:hAnsi="宋体" w:cs="宋体"/>
                <w:kern w:val="0"/>
                <w:sz w:val="18"/>
                <w:szCs w:val="18"/>
              </w:rPr>
              <w:t>100</w:t>
            </w:r>
            <w:r>
              <w:rPr>
                <w:rFonts w:hint="eastAsia" w:ascii="宋体" w:hAnsi="宋体" w:cs="宋体"/>
                <w:kern w:val="0"/>
                <w:sz w:val="18"/>
                <w:szCs w:val="18"/>
              </w:rPr>
              <w:t>万台卫星通信传输设备</w:t>
            </w:r>
          </w:p>
        </w:tc>
        <w:tc>
          <w:tcPr>
            <w:tcW w:w="1190"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100,000</w:t>
            </w:r>
          </w:p>
        </w:tc>
        <w:tc>
          <w:tcPr>
            <w:tcW w:w="1148"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450,000</w:t>
            </w:r>
          </w:p>
        </w:tc>
        <w:tc>
          <w:tcPr>
            <w:tcW w:w="1217"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电子信息</w:t>
            </w:r>
          </w:p>
        </w:tc>
        <w:tc>
          <w:tcPr>
            <w:tcW w:w="1442"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上杭县工业园</w:t>
            </w:r>
          </w:p>
        </w:tc>
      </w:tr>
      <w:tr>
        <w:trPr>
          <w:trHeight w:val="450" w:hRule="atLeast"/>
        </w:trPr>
        <w:tc>
          <w:tcPr>
            <w:tcW w:w="560" w:type="dxa"/>
            <w:tcBorders>
              <w:top w:val="nil"/>
              <w:left w:val="single" w:color="auto" w:sz="4" w:space="0"/>
              <w:bottom w:val="single" w:color="auto" w:sz="4" w:space="0"/>
              <w:right w:val="single" w:color="auto" w:sz="4" w:space="0"/>
            </w:tcBorders>
            <w:shd w:val="clear" w:color="000000" w:fill="D9D9D9"/>
            <w:vAlign w:val="center"/>
          </w:tcPr>
          <w:p>
            <w:pPr>
              <w:widowControl/>
              <w:jc w:val="center"/>
              <w:rPr>
                <w:rFonts w:ascii="宋体" w:cs="Times New Roman"/>
                <w:b/>
                <w:bCs/>
                <w:kern w:val="0"/>
                <w:sz w:val="18"/>
                <w:szCs w:val="18"/>
              </w:rPr>
            </w:pPr>
            <w:r>
              <w:rPr>
                <w:rFonts w:ascii="宋体" w:hAnsi="宋体" w:cs="宋体"/>
                <w:b/>
                <w:bCs/>
                <w:kern w:val="0"/>
                <w:sz w:val="18"/>
                <w:szCs w:val="18"/>
              </w:rPr>
              <w:t>70</w:t>
            </w:r>
          </w:p>
        </w:tc>
        <w:tc>
          <w:tcPr>
            <w:tcW w:w="25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光纤放大器、</w:t>
            </w:r>
            <w:r>
              <w:rPr>
                <w:rFonts w:ascii="宋体" w:hAnsi="宋体" w:cs="宋体"/>
                <w:kern w:val="0"/>
                <w:sz w:val="18"/>
                <w:szCs w:val="18"/>
              </w:rPr>
              <w:t>5G</w:t>
            </w:r>
            <w:r>
              <w:rPr>
                <w:rFonts w:hint="eastAsia" w:ascii="宋体" w:hAnsi="宋体" w:cs="宋体"/>
                <w:kern w:val="0"/>
                <w:sz w:val="18"/>
                <w:szCs w:val="18"/>
              </w:rPr>
              <w:t>智能终端</w:t>
            </w:r>
          </w:p>
        </w:tc>
        <w:tc>
          <w:tcPr>
            <w:tcW w:w="18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华为公司</w:t>
            </w:r>
          </w:p>
        </w:tc>
        <w:tc>
          <w:tcPr>
            <w:tcW w:w="3947"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年产</w:t>
            </w:r>
            <w:r>
              <w:rPr>
                <w:rFonts w:ascii="宋体" w:hAnsi="宋体" w:cs="宋体"/>
                <w:kern w:val="0"/>
                <w:sz w:val="18"/>
                <w:szCs w:val="18"/>
              </w:rPr>
              <w:t>500</w:t>
            </w:r>
            <w:r>
              <w:rPr>
                <w:rFonts w:hint="eastAsia" w:ascii="宋体" w:hAnsi="宋体" w:cs="宋体"/>
                <w:kern w:val="0"/>
                <w:sz w:val="18"/>
                <w:szCs w:val="18"/>
              </w:rPr>
              <w:t>万台光纤放大器、</w:t>
            </w:r>
            <w:r>
              <w:rPr>
                <w:rFonts w:ascii="宋体" w:hAnsi="宋体" w:cs="宋体"/>
                <w:kern w:val="0"/>
                <w:sz w:val="18"/>
                <w:szCs w:val="18"/>
              </w:rPr>
              <w:t>5G</w:t>
            </w:r>
            <w:r>
              <w:rPr>
                <w:rFonts w:hint="eastAsia" w:ascii="宋体" w:hAnsi="宋体" w:cs="宋体"/>
                <w:kern w:val="0"/>
                <w:sz w:val="18"/>
                <w:szCs w:val="18"/>
              </w:rPr>
              <w:t>智能终端</w:t>
            </w:r>
          </w:p>
        </w:tc>
        <w:tc>
          <w:tcPr>
            <w:tcW w:w="1190"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50,000</w:t>
            </w:r>
          </w:p>
        </w:tc>
        <w:tc>
          <w:tcPr>
            <w:tcW w:w="1148"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350,000</w:t>
            </w:r>
          </w:p>
        </w:tc>
        <w:tc>
          <w:tcPr>
            <w:tcW w:w="1217"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电子信息</w:t>
            </w:r>
          </w:p>
        </w:tc>
        <w:tc>
          <w:tcPr>
            <w:tcW w:w="1442"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上杭县工业园</w:t>
            </w:r>
          </w:p>
        </w:tc>
      </w:tr>
      <w:tr>
        <w:trPr>
          <w:trHeight w:val="450" w:hRule="atLeast"/>
        </w:trPr>
        <w:tc>
          <w:tcPr>
            <w:tcW w:w="560" w:type="dxa"/>
            <w:tcBorders>
              <w:top w:val="nil"/>
              <w:left w:val="single" w:color="auto" w:sz="4" w:space="0"/>
              <w:bottom w:val="single" w:color="auto" w:sz="4" w:space="0"/>
              <w:right w:val="single" w:color="auto" w:sz="4" w:space="0"/>
            </w:tcBorders>
            <w:shd w:val="clear" w:color="000000" w:fill="D9D9D9"/>
            <w:vAlign w:val="center"/>
          </w:tcPr>
          <w:p>
            <w:pPr>
              <w:widowControl/>
              <w:jc w:val="center"/>
              <w:rPr>
                <w:rFonts w:ascii="宋体" w:cs="Times New Roman"/>
                <w:b/>
                <w:bCs/>
                <w:kern w:val="0"/>
                <w:sz w:val="18"/>
                <w:szCs w:val="18"/>
              </w:rPr>
            </w:pPr>
            <w:r>
              <w:rPr>
                <w:rFonts w:ascii="宋体" w:hAnsi="宋体" w:cs="宋体"/>
                <w:b/>
                <w:bCs/>
                <w:kern w:val="0"/>
                <w:sz w:val="18"/>
                <w:szCs w:val="18"/>
              </w:rPr>
              <w:t>71</w:t>
            </w:r>
          </w:p>
        </w:tc>
        <w:tc>
          <w:tcPr>
            <w:tcW w:w="25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高性能铍铜合金带材项目</w:t>
            </w:r>
          </w:p>
        </w:tc>
        <w:tc>
          <w:tcPr>
            <w:tcW w:w="18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福建紫金、中色东方</w:t>
            </w:r>
          </w:p>
        </w:tc>
        <w:tc>
          <w:tcPr>
            <w:tcW w:w="3947"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年产</w:t>
            </w:r>
            <w:r>
              <w:rPr>
                <w:rFonts w:ascii="宋体" w:hAnsi="宋体" w:cs="宋体"/>
                <w:kern w:val="0"/>
                <w:sz w:val="18"/>
                <w:szCs w:val="18"/>
              </w:rPr>
              <w:t>5000</w:t>
            </w:r>
            <w:r>
              <w:rPr>
                <w:rFonts w:hint="eastAsia" w:ascii="宋体" w:hAnsi="宋体" w:cs="宋体"/>
                <w:kern w:val="0"/>
                <w:sz w:val="18"/>
                <w:szCs w:val="18"/>
              </w:rPr>
              <w:t>吨高性能铍铜合金带材项目</w:t>
            </w:r>
          </w:p>
        </w:tc>
        <w:tc>
          <w:tcPr>
            <w:tcW w:w="1190"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15,000</w:t>
            </w:r>
          </w:p>
        </w:tc>
        <w:tc>
          <w:tcPr>
            <w:tcW w:w="1148"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95,000</w:t>
            </w:r>
          </w:p>
        </w:tc>
        <w:tc>
          <w:tcPr>
            <w:tcW w:w="1217"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电子信息</w:t>
            </w:r>
          </w:p>
        </w:tc>
        <w:tc>
          <w:tcPr>
            <w:tcW w:w="1442"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上杭县工业园</w:t>
            </w:r>
          </w:p>
        </w:tc>
      </w:tr>
      <w:tr>
        <w:trPr>
          <w:trHeight w:val="930" w:hRule="atLeast"/>
        </w:trPr>
        <w:tc>
          <w:tcPr>
            <w:tcW w:w="560" w:type="dxa"/>
            <w:tcBorders>
              <w:top w:val="nil"/>
              <w:left w:val="single" w:color="auto" w:sz="4" w:space="0"/>
              <w:bottom w:val="single" w:color="auto" w:sz="4" w:space="0"/>
              <w:right w:val="single" w:color="auto" w:sz="4" w:space="0"/>
            </w:tcBorders>
            <w:shd w:val="clear" w:color="000000" w:fill="D9D9D9"/>
            <w:vAlign w:val="center"/>
          </w:tcPr>
          <w:p>
            <w:pPr>
              <w:widowControl/>
              <w:jc w:val="center"/>
              <w:rPr>
                <w:rFonts w:ascii="宋体" w:cs="Times New Roman"/>
                <w:b/>
                <w:bCs/>
                <w:kern w:val="0"/>
                <w:sz w:val="18"/>
                <w:szCs w:val="18"/>
              </w:rPr>
            </w:pPr>
            <w:r>
              <w:rPr>
                <w:rFonts w:ascii="宋体" w:hAnsi="宋体" w:cs="宋体"/>
                <w:b/>
                <w:bCs/>
                <w:kern w:val="0"/>
                <w:sz w:val="18"/>
                <w:szCs w:val="18"/>
              </w:rPr>
              <w:t>72</w:t>
            </w:r>
          </w:p>
        </w:tc>
        <w:tc>
          <w:tcPr>
            <w:tcW w:w="25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年产</w:t>
            </w:r>
            <w:r>
              <w:rPr>
                <w:rFonts w:ascii="Times New Roman" w:hAnsi="Times New Roman" w:cs="Times New Roman"/>
                <w:kern w:val="0"/>
                <w:sz w:val="18"/>
                <w:szCs w:val="18"/>
              </w:rPr>
              <w:t>15</w:t>
            </w:r>
            <w:r>
              <w:rPr>
                <w:rFonts w:hint="eastAsia" w:ascii="宋体" w:hAnsi="宋体" w:cs="宋体"/>
                <w:kern w:val="0"/>
                <w:sz w:val="18"/>
                <w:szCs w:val="18"/>
              </w:rPr>
              <w:t>万套汽车零配件生产项目</w:t>
            </w:r>
          </w:p>
        </w:tc>
        <w:tc>
          <w:tcPr>
            <w:tcW w:w="1862" w:type="dxa"/>
            <w:tcBorders>
              <w:top w:val="nil"/>
              <w:left w:val="nil"/>
              <w:bottom w:val="single" w:color="auto" w:sz="4" w:space="0"/>
              <w:right w:val="single" w:color="auto" w:sz="4" w:space="0"/>
            </w:tcBorders>
            <w:shd w:val="clear" w:color="000000" w:fill="FFFFFF"/>
            <w:vAlign w:val="center"/>
          </w:tcPr>
          <w:p>
            <w:pPr>
              <w:widowControl/>
              <w:rPr>
                <w:rFonts w:ascii="宋体" w:cs="Times New Roman"/>
                <w:kern w:val="0"/>
                <w:sz w:val="18"/>
                <w:szCs w:val="18"/>
              </w:rPr>
            </w:pPr>
            <w:r>
              <w:rPr>
                <w:rFonts w:hint="eastAsia" w:ascii="宋体" w:hAnsi="宋体" w:cs="宋体"/>
                <w:kern w:val="0"/>
                <w:sz w:val="18"/>
                <w:szCs w:val="18"/>
              </w:rPr>
              <w:t>福建朝晖汽车用品有限公司</w:t>
            </w:r>
          </w:p>
        </w:tc>
        <w:tc>
          <w:tcPr>
            <w:tcW w:w="3947" w:type="dxa"/>
            <w:tcBorders>
              <w:top w:val="nil"/>
              <w:left w:val="nil"/>
              <w:bottom w:val="single" w:color="auto" w:sz="4" w:space="0"/>
              <w:right w:val="single" w:color="auto" w:sz="4" w:space="0"/>
            </w:tcBorders>
            <w:shd w:val="clear" w:color="000000" w:fill="FFFFFF"/>
            <w:vAlign w:val="center"/>
          </w:tcPr>
          <w:p>
            <w:pPr>
              <w:widowControl/>
              <w:spacing w:line="260" w:lineRule="exact"/>
              <w:jc w:val="left"/>
              <w:rPr>
                <w:rFonts w:ascii="宋体" w:cs="Times New Roman"/>
                <w:kern w:val="0"/>
                <w:sz w:val="18"/>
                <w:szCs w:val="18"/>
              </w:rPr>
            </w:pPr>
            <w:r>
              <w:rPr>
                <w:rFonts w:hint="eastAsia" w:ascii="宋体" w:hAnsi="宋体" w:cs="宋体"/>
                <w:kern w:val="0"/>
                <w:sz w:val="18"/>
                <w:szCs w:val="18"/>
              </w:rPr>
              <w:t>规划用地</w:t>
            </w:r>
            <w:r>
              <w:rPr>
                <w:rFonts w:ascii="Times New Roman" w:hAnsi="Times New Roman" w:cs="Times New Roman"/>
                <w:kern w:val="0"/>
                <w:sz w:val="18"/>
                <w:szCs w:val="18"/>
              </w:rPr>
              <w:t>20</w:t>
            </w:r>
            <w:r>
              <w:rPr>
                <w:rFonts w:hint="eastAsia" w:ascii="宋体" w:hAnsi="宋体" w:cs="宋体"/>
                <w:kern w:val="0"/>
                <w:sz w:val="18"/>
                <w:szCs w:val="18"/>
              </w:rPr>
              <w:t>亩，总建筑面积</w:t>
            </w:r>
            <w:r>
              <w:rPr>
                <w:rFonts w:ascii="Times New Roman" w:hAnsi="Times New Roman" w:cs="Times New Roman"/>
                <w:kern w:val="0"/>
                <w:sz w:val="18"/>
                <w:szCs w:val="18"/>
              </w:rPr>
              <w:t>47400</w:t>
            </w:r>
            <w:r>
              <w:rPr>
                <w:rFonts w:hint="eastAsia" w:ascii="宋体" w:hAnsi="宋体" w:cs="宋体"/>
                <w:kern w:val="0"/>
                <w:sz w:val="18"/>
                <w:szCs w:val="18"/>
              </w:rPr>
              <w:t>平方米。主要建设生产车间、原料及成品库房、综合楼，配套建设给排水、变配电、消防等辅助设施，年产</w:t>
            </w:r>
            <w:r>
              <w:rPr>
                <w:rFonts w:ascii="Times New Roman" w:hAnsi="Times New Roman" w:cs="Times New Roman"/>
                <w:kern w:val="0"/>
                <w:sz w:val="18"/>
                <w:szCs w:val="18"/>
              </w:rPr>
              <w:t>15</w:t>
            </w:r>
            <w:r>
              <w:rPr>
                <w:rFonts w:hint="eastAsia" w:ascii="宋体" w:hAnsi="宋体" w:cs="宋体"/>
                <w:kern w:val="0"/>
                <w:sz w:val="18"/>
                <w:szCs w:val="18"/>
              </w:rPr>
              <w:t>万套汽车零配件</w:t>
            </w:r>
          </w:p>
        </w:tc>
        <w:tc>
          <w:tcPr>
            <w:tcW w:w="1190" w:type="dxa"/>
            <w:tcBorders>
              <w:top w:val="nil"/>
              <w:left w:val="nil"/>
              <w:bottom w:val="single" w:color="auto" w:sz="4" w:space="0"/>
              <w:right w:val="single" w:color="auto" w:sz="4" w:space="0"/>
            </w:tcBorders>
            <w:shd w:val="clear" w:color="000000" w:fill="FFFFFF"/>
            <w:vAlign w:val="center"/>
          </w:tcPr>
          <w:p>
            <w:pPr>
              <w:widowControl/>
              <w:jc w:val="right"/>
              <w:rPr>
                <w:rFonts w:ascii="Times New Roman" w:hAnsi="Times New Roman" w:cs="Times New Roman"/>
                <w:kern w:val="0"/>
                <w:sz w:val="18"/>
                <w:szCs w:val="18"/>
              </w:rPr>
            </w:pPr>
            <w:r>
              <w:rPr>
                <w:rFonts w:ascii="Times New Roman" w:hAnsi="Times New Roman" w:cs="Times New Roman"/>
                <w:kern w:val="0"/>
                <w:sz w:val="18"/>
                <w:szCs w:val="18"/>
              </w:rPr>
              <w:t>7,270</w:t>
            </w:r>
          </w:p>
        </w:tc>
        <w:tc>
          <w:tcPr>
            <w:tcW w:w="1148"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hint="eastAsia" w:ascii="宋体" w:hAnsi="宋体" w:cs="宋体"/>
                <w:kern w:val="0"/>
                <w:sz w:val="18"/>
                <w:szCs w:val="18"/>
              </w:rPr>
              <w:t>　</w:t>
            </w:r>
          </w:p>
        </w:tc>
        <w:tc>
          <w:tcPr>
            <w:tcW w:w="1217"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交通运输</w:t>
            </w:r>
          </w:p>
        </w:tc>
        <w:tc>
          <w:tcPr>
            <w:tcW w:w="1442"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上杭县工业园</w:t>
            </w:r>
          </w:p>
        </w:tc>
      </w:tr>
      <w:tr>
        <w:trPr>
          <w:trHeight w:val="450" w:hRule="atLeast"/>
        </w:trPr>
        <w:tc>
          <w:tcPr>
            <w:tcW w:w="560" w:type="dxa"/>
            <w:tcBorders>
              <w:top w:val="nil"/>
              <w:left w:val="single" w:color="auto" w:sz="4" w:space="0"/>
              <w:bottom w:val="single" w:color="auto" w:sz="4" w:space="0"/>
              <w:right w:val="single" w:color="auto" w:sz="4" w:space="0"/>
            </w:tcBorders>
            <w:shd w:val="clear" w:color="000000" w:fill="D9D9D9"/>
            <w:vAlign w:val="center"/>
          </w:tcPr>
          <w:p>
            <w:pPr>
              <w:widowControl/>
              <w:jc w:val="center"/>
              <w:rPr>
                <w:rFonts w:ascii="宋体" w:cs="Times New Roman"/>
                <w:b/>
                <w:bCs/>
                <w:kern w:val="0"/>
                <w:sz w:val="18"/>
                <w:szCs w:val="18"/>
              </w:rPr>
            </w:pPr>
            <w:r>
              <w:rPr>
                <w:rFonts w:ascii="宋体" w:hAnsi="宋体" w:cs="宋体"/>
                <w:b/>
                <w:bCs/>
                <w:kern w:val="0"/>
                <w:sz w:val="18"/>
                <w:szCs w:val="18"/>
              </w:rPr>
              <w:t>73</w:t>
            </w:r>
          </w:p>
        </w:tc>
        <w:tc>
          <w:tcPr>
            <w:tcW w:w="25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智能新能源汽车充电站组件</w:t>
            </w:r>
          </w:p>
        </w:tc>
        <w:tc>
          <w:tcPr>
            <w:tcW w:w="1862" w:type="dxa"/>
            <w:tcBorders>
              <w:top w:val="nil"/>
              <w:left w:val="nil"/>
              <w:bottom w:val="single" w:color="auto" w:sz="4" w:space="0"/>
              <w:right w:val="single" w:color="auto" w:sz="4" w:space="0"/>
            </w:tcBorders>
            <w:shd w:val="clear" w:color="000000" w:fill="FFFFFF"/>
            <w:vAlign w:val="center"/>
          </w:tcPr>
          <w:p>
            <w:pPr>
              <w:widowControl/>
              <w:spacing w:line="260" w:lineRule="exact"/>
              <w:jc w:val="left"/>
              <w:rPr>
                <w:rFonts w:ascii="宋体" w:cs="Times New Roman"/>
                <w:kern w:val="0"/>
                <w:sz w:val="18"/>
                <w:szCs w:val="18"/>
              </w:rPr>
            </w:pPr>
            <w:r>
              <w:rPr>
                <w:rFonts w:hint="eastAsia" w:ascii="宋体" w:hAnsi="宋体" w:cs="宋体"/>
                <w:kern w:val="0"/>
                <w:sz w:val="18"/>
                <w:szCs w:val="18"/>
              </w:rPr>
              <w:t>江苏安科瑞、太阳铜业</w:t>
            </w:r>
          </w:p>
        </w:tc>
        <w:tc>
          <w:tcPr>
            <w:tcW w:w="3947"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年产</w:t>
            </w:r>
            <w:r>
              <w:rPr>
                <w:rFonts w:ascii="宋体" w:hAnsi="宋体" w:cs="宋体"/>
                <w:kern w:val="0"/>
                <w:sz w:val="18"/>
                <w:szCs w:val="18"/>
              </w:rPr>
              <w:t>5000</w:t>
            </w:r>
            <w:r>
              <w:rPr>
                <w:rFonts w:hint="eastAsia" w:ascii="宋体" w:hAnsi="宋体" w:cs="宋体"/>
                <w:kern w:val="0"/>
                <w:sz w:val="18"/>
                <w:szCs w:val="18"/>
              </w:rPr>
              <w:t>台智能新能源充电桩生产线生产项目</w:t>
            </w:r>
          </w:p>
        </w:tc>
        <w:tc>
          <w:tcPr>
            <w:tcW w:w="1190"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25,000</w:t>
            </w:r>
          </w:p>
        </w:tc>
        <w:tc>
          <w:tcPr>
            <w:tcW w:w="1148"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55,000</w:t>
            </w:r>
          </w:p>
        </w:tc>
        <w:tc>
          <w:tcPr>
            <w:tcW w:w="1217"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交通运输</w:t>
            </w:r>
          </w:p>
        </w:tc>
        <w:tc>
          <w:tcPr>
            <w:tcW w:w="1442"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上杭县工业园</w:t>
            </w:r>
          </w:p>
        </w:tc>
      </w:tr>
      <w:tr>
        <w:trPr>
          <w:trHeight w:val="450" w:hRule="atLeast"/>
        </w:trPr>
        <w:tc>
          <w:tcPr>
            <w:tcW w:w="560" w:type="dxa"/>
            <w:tcBorders>
              <w:top w:val="nil"/>
              <w:left w:val="single" w:color="auto" w:sz="4" w:space="0"/>
              <w:bottom w:val="single" w:color="auto" w:sz="4" w:space="0"/>
              <w:right w:val="single" w:color="auto" w:sz="4" w:space="0"/>
            </w:tcBorders>
            <w:shd w:val="clear" w:color="000000" w:fill="D9D9D9"/>
            <w:vAlign w:val="center"/>
          </w:tcPr>
          <w:p>
            <w:pPr>
              <w:widowControl/>
              <w:jc w:val="center"/>
              <w:rPr>
                <w:rFonts w:ascii="宋体" w:cs="Times New Roman"/>
                <w:b/>
                <w:bCs/>
                <w:kern w:val="0"/>
                <w:sz w:val="18"/>
                <w:szCs w:val="18"/>
              </w:rPr>
            </w:pPr>
            <w:r>
              <w:rPr>
                <w:rFonts w:ascii="宋体" w:hAnsi="宋体" w:cs="宋体"/>
                <w:b/>
                <w:bCs/>
                <w:kern w:val="0"/>
                <w:sz w:val="18"/>
                <w:szCs w:val="18"/>
              </w:rPr>
              <w:t>74</w:t>
            </w:r>
          </w:p>
        </w:tc>
        <w:tc>
          <w:tcPr>
            <w:tcW w:w="25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新能源汽车高压插接件</w:t>
            </w:r>
          </w:p>
        </w:tc>
        <w:tc>
          <w:tcPr>
            <w:tcW w:w="1862" w:type="dxa"/>
            <w:tcBorders>
              <w:top w:val="nil"/>
              <w:left w:val="nil"/>
              <w:bottom w:val="single" w:color="auto" w:sz="4" w:space="0"/>
              <w:right w:val="single" w:color="auto" w:sz="4" w:space="0"/>
            </w:tcBorders>
            <w:shd w:val="clear" w:color="000000" w:fill="FFFFFF"/>
            <w:vAlign w:val="center"/>
          </w:tcPr>
          <w:p>
            <w:pPr>
              <w:widowControl/>
              <w:spacing w:line="240" w:lineRule="exact"/>
              <w:jc w:val="left"/>
              <w:rPr>
                <w:rFonts w:ascii="宋体" w:cs="Times New Roman"/>
                <w:kern w:val="0"/>
                <w:sz w:val="18"/>
                <w:szCs w:val="18"/>
              </w:rPr>
            </w:pPr>
            <w:r>
              <w:rPr>
                <w:rFonts w:hint="eastAsia" w:ascii="宋体" w:hAnsi="宋体" w:cs="宋体"/>
                <w:kern w:val="0"/>
                <w:sz w:val="18"/>
                <w:szCs w:val="18"/>
              </w:rPr>
              <w:t>福建源光电装有限公司、福建紫金铜业有限公司</w:t>
            </w:r>
          </w:p>
        </w:tc>
        <w:tc>
          <w:tcPr>
            <w:tcW w:w="3947"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年产</w:t>
            </w:r>
            <w:r>
              <w:rPr>
                <w:rFonts w:ascii="宋体" w:hAnsi="宋体" w:cs="宋体"/>
                <w:kern w:val="0"/>
                <w:sz w:val="18"/>
                <w:szCs w:val="18"/>
              </w:rPr>
              <w:t>20</w:t>
            </w:r>
            <w:r>
              <w:rPr>
                <w:rFonts w:hint="eastAsia" w:ascii="宋体" w:hAnsi="宋体" w:cs="宋体"/>
                <w:kern w:val="0"/>
                <w:sz w:val="18"/>
                <w:szCs w:val="18"/>
              </w:rPr>
              <w:t>万套新能源汽车高压插接件生产项目</w:t>
            </w:r>
          </w:p>
        </w:tc>
        <w:tc>
          <w:tcPr>
            <w:tcW w:w="1190"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35,000</w:t>
            </w:r>
          </w:p>
        </w:tc>
        <w:tc>
          <w:tcPr>
            <w:tcW w:w="1148"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85,000</w:t>
            </w:r>
          </w:p>
        </w:tc>
        <w:tc>
          <w:tcPr>
            <w:tcW w:w="1217"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交通运输</w:t>
            </w:r>
          </w:p>
        </w:tc>
        <w:tc>
          <w:tcPr>
            <w:tcW w:w="1442"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上杭县工业园</w:t>
            </w:r>
          </w:p>
        </w:tc>
      </w:tr>
      <w:tr>
        <w:trPr>
          <w:trHeight w:val="450" w:hRule="atLeast"/>
        </w:trPr>
        <w:tc>
          <w:tcPr>
            <w:tcW w:w="560" w:type="dxa"/>
            <w:tcBorders>
              <w:top w:val="nil"/>
              <w:left w:val="single" w:color="auto" w:sz="4" w:space="0"/>
              <w:bottom w:val="single" w:color="auto" w:sz="4" w:space="0"/>
              <w:right w:val="single" w:color="auto" w:sz="4" w:space="0"/>
            </w:tcBorders>
            <w:shd w:val="clear" w:color="000000" w:fill="D9D9D9"/>
            <w:vAlign w:val="center"/>
          </w:tcPr>
          <w:p>
            <w:pPr>
              <w:widowControl/>
              <w:jc w:val="center"/>
              <w:rPr>
                <w:rFonts w:ascii="宋体" w:cs="Times New Roman"/>
                <w:b/>
                <w:bCs/>
                <w:kern w:val="0"/>
                <w:sz w:val="18"/>
                <w:szCs w:val="18"/>
              </w:rPr>
            </w:pPr>
            <w:r>
              <w:rPr>
                <w:rFonts w:ascii="宋体" w:hAnsi="宋体" w:cs="宋体"/>
                <w:b/>
                <w:bCs/>
                <w:kern w:val="0"/>
                <w:sz w:val="18"/>
                <w:szCs w:val="18"/>
              </w:rPr>
              <w:t>75</w:t>
            </w:r>
          </w:p>
        </w:tc>
        <w:tc>
          <w:tcPr>
            <w:tcW w:w="25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汽车电子束线生产项目</w:t>
            </w:r>
          </w:p>
        </w:tc>
        <w:tc>
          <w:tcPr>
            <w:tcW w:w="18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招商引资</w:t>
            </w:r>
          </w:p>
        </w:tc>
        <w:tc>
          <w:tcPr>
            <w:tcW w:w="3947" w:type="dxa"/>
            <w:tcBorders>
              <w:top w:val="nil"/>
              <w:left w:val="nil"/>
              <w:bottom w:val="single" w:color="auto" w:sz="4" w:space="0"/>
              <w:right w:val="single" w:color="auto" w:sz="4" w:space="0"/>
            </w:tcBorders>
            <w:shd w:val="clear" w:color="000000" w:fill="FFFFFF"/>
            <w:vAlign w:val="center"/>
          </w:tcPr>
          <w:p>
            <w:pPr>
              <w:widowControl/>
              <w:spacing w:line="260" w:lineRule="exact"/>
              <w:jc w:val="left"/>
              <w:rPr>
                <w:rFonts w:ascii="宋体" w:cs="Times New Roman"/>
                <w:kern w:val="0"/>
                <w:sz w:val="18"/>
                <w:szCs w:val="18"/>
              </w:rPr>
            </w:pPr>
            <w:r>
              <w:rPr>
                <w:rFonts w:hint="eastAsia" w:ascii="宋体" w:hAnsi="宋体" w:cs="宋体"/>
                <w:kern w:val="0"/>
                <w:sz w:val="18"/>
                <w:szCs w:val="18"/>
              </w:rPr>
              <w:t>年产汽车执行元件用电力线及线束</w:t>
            </w:r>
            <w:r>
              <w:rPr>
                <w:rFonts w:ascii="宋体" w:hAnsi="宋体" w:cs="宋体"/>
                <w:kern w:val="0"/>
                <w:sz w:val="18"/>
                <w:szCs w:val="18"/>
              </w:rPr>
              <w:t>50</w:t>
            </w:r>
            <w:r>
              <w:rPr>
                <w:rFonts w:hint="eastAsia" w:ascii="宋体" w:hAnsi="宋体" w:cs="宋体"/>
                <w:kern w:val="0"/>
                <w:sz w:val="18"/>
                <w:szCs w:val="18"/>
              </w:rPr>
              <w:t>万套（截面积</w:t>
            </w:r>
            <w:r>
              <w:rPr>
                <w:rFonts w:ascii="宋体" w:hAnsi="宋体" w:cs="宋体"/>
                <w:kern w:val="0"/>
                <w:sz w:val="18"/>
                <w:szCs w:val="18"/>
              </w:rPr>
              <w:t>0.85mm2</w:t>
            </w:r>
            <w:r>
              <w:rPr>
                <w:rFonts w:hint="eastAsia" w:ascii="宋体" w:hAnsi="宋体" w:cs="宋体"/>
                <w:kern w:val="0"/>
                <w:sz w:val="18"/>
                <w:szCs w:val="18"/>
              </w:rPr>
              <w:t>、</w:t>
            </w:r>
            <w:r>
              <w:rPr>
                <w:rFonts w:ascii="宋体" w:hAnsi="宋体" w:cs="宋体"/>
                <w:kern w:val="0"/>
                <w:sz w:val="18"/>
                <w:szCs w:val="18"/>
              </w:rPr>
              <w:t>1.25mm2</w:t>
            </w:r>
            <w:r>
              <w:rPr>
                <w:rFonts w:hint="eastAsia" w:ascii="宋体" w:hAnsi="宋体" w:cs="宋体"/>
                <w:kern w:val="0"/>
                <w:sz w:val="18"/>
                <w:szCs w:val="18"/>
              </w:rPr>
              <w:t>）</w:t>
            </w:r>
          </w:p>
        </w:tc>
        <w:tc>
          <w:tcPr>
            <w:tcW w:w="1190"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6,000</w:t>
            </w:r>
          </w:p>
        </w:tc>
        <w:tc>
          <w:tcPr>
            <w:tcW w:w="1148"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20,000</w:t>
            </w:r>
          </w:p>
        </w:tc>
        <w:tc>
          <w:tcPr>
            <w:tcW w:w="1217"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交通运输</w:t>
            </w:r>
          </w:p>
        </w:tc>
        <w:tc>
          <w:tcPr>
            <w:tcW w:w="1442"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上杭县工业园</w:t>
            </w:r>
          </w:p>
        </w:tc>
      </w:tr>
      <w:tr>
        <w:trPr>
          <w:trHeight w:val="270" w:hRule="atLeast"/>
        </w:trPr>
        <w:tc>
          <w:tcPr>
            <w:tcW w:w="560" w:type="dxa"/>
            <w:tcBorders>
              <w:top w:val="nil"/>
              <w:left w:val="single" w:color="auto" w:sz="4" w:space="0"/>
              <w:bottom w:val="single" w:color="auto" w:sz="4" w:space="0"/>
              <w:right w:val="single" w:color="auto" w:sz="4" w:space="0"/>
            </w:tcBorders>
            <w:shd w:val="clear" w:color="000000" w:fill="D9D9D9"/>
            <w:vAlign w:val="center"/>
          </w:tcPr>
          <w:p>
            <w:pPr>
              <w:widowControl/>
              <w:jc w:val="center"/>
              <w:rPr>
                <w:rFonts w:ascii="宋体" w:cs="Times New Roman"/>
                <w:b/>
                <w:bCs/>
                <w:kern w:val="0"/>
                <w:sz w:val="18"/>
                <w:szCs w:val="18"/>
              </w:rPr>
            </w:pPr>
            <w:r>
              <w:rPr>
                <w:rFonts w:ascii="宋体" w:hAnsi="宋体" w:cs="宋体"/>
                <w:b/>
                <w:bCs/>
                <w:kern w:val="0"/>
                <w:sz w:val="18"/>
                <w:szCs w:val="18"/>
              </w:rPr>
              <w:t>76</w:t>
            </w:r>
          </w:p>
        </w:tc>
        <w:tc>
          <w:tcPr>
            <w:tcW w:w="25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轨道交通用铜铸件</w:t>
            </w:r>
          </w:p>
        </w:tc>
        <w:tc>
          <w:tcPr>
            <w:tcW w:w="18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常州太平洋电力</w:t>
            </w:r>
          </w:p>
        </w:tc>
        <w:tc>
          <w:tcPr>
            <w:tcW w:w="3947"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年产</w:t>
            </w:r>
            <w:r>
              <w:rPr>
                <w:rFonts w:ascii="宋体" w:hAnsi="宋体" w:cs="宋体"/>
                <w:kern w:val="0"/>
                <w:sz w:val="18"/>
                <w:szCs w:val="18"/>
              </w:rPr>
              <w:t>2</w:t>
            </w:r>
            <w:r>
              <w:rPr>
                <w:rFonts w:hint="eastAsia" w:ascii="宋体" w:hAnsi="宋体" w:cs="宋体"/>
                <w:kern w:val="0"/>
                <w:sz w:val="18"/>
                <w:szCs w:val="18"/>
              </w:rPr>
              <w:t>万轨道交通用铜铸件</w:t>
            </w:r>
          </w:p>
        </w:tc>
        <w:tc>
          <w:tcPr>
            <w:tcW w:w="1190"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15,000</w:t>
            </w:r>
          </w:p>
        </w:tc>
        <w:tc>
          <w:tcPr>
            <w:tcW w:w="1148"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20,000</w:t>
            </w:r>
          </w:p>
        </w:tc>
        <w:tc>
          <w:tcPr>
            <w:tcW w:w="1217"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交通运输</w:t>
            </w:r>
          </w:p>
        </w:tc>
        <w:tc>
          <w:tcPr>
            <w:tcW w:w="1442"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上杭县工业园</w:t>
            </w:r>
          </w:p>
        </w:tc>
      </w:tr>
      <w:tr>
        <w:trPr>
          <w:trHeight w:val="450" w:hRule="atLeast"/>
        </w:trPr>
        <w:tc>
          <w:tcPr>
            <w:tcW w:w="560" w:type="dxa"/>
            <w:tcBorders>
              <w:top w:val="nil"/>
              <w:left w:val="single" w:color="auto" w:sz="4" w:space="0"/>
              <w:bottom w:val="single" w:color="auto" w:sz="4" w:space="0"/>
              <w:right w:val="single" w:color="auto" w:sz="4" w:space="0"/>
            </w:tcBorders>
            <w:shd w:val="clear" w:color="000000" w:fill="D9D9D9"/>
            <w:vAlign w:val="center"/>
          </w:tcPr>
          <w:p>
            <w:pPr>
              <w:widowControl/>
              <w:jc w:val="center"/>
              <w:rPr>
                <w:rFonts w:ascii="宋体" w:cs="Times New Roman"/>
                <w:b/>
                <w:bCs/>
                <w:kern w:val="0"/>
                <w:sz w:val="18"/>
                <w:szCs w:val="18"/>
              </w:rPr>
            </w:pPr>
            <w:r>
              <w:rPr>
                <w:rFonts w:ascii="宋体" w:hAnsi="宋体" w:cs="宋体"/>
                <w:b/>
                <w:bCs/>
                <w:kern w:val="0"/>
                <w:sz w:val="18"/>
                <w:szCs w:val="18"/>
              </w:rPr>
              <w:t>77</w:t>
            </w:r>
          </w:p>
        </w:tc>
        <w:tc>
          <w:tcPr>
            <w:tcW w:w="25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专用发动机电控单元配件</w:t>
            </w:r>
          </w:p>
        </w:tc>
        <w:tc>
          <w:tcPr>
            <w:tcW w:w="18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常州太平洋电力</w:t>
            </w:r>
          </w:p>
        </w:tc>
        <w:tc>
          <w:tcPr>
            <w:tcW w:w="3947"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年产</w:t>
            </w:r>
            <w:r>
              <w:rPr>
                <w:rFonts w:ascii="宋体" w:hAnsi="宋体" w:cs="宋体"/>
                <w:kern w:val="0"/>
                <w:sz w:val="18"/>
                <w:szCs w:val="18"/>
              </w:rPr>
              <w:t>20</w:t>
            </w:r>
            <w:r>
              <w:rPr>
                <w:rFonts w:hint="eastAsia" w:ascii="宋体" w:hAnsi="宋体" w:cs="宋体"/>
                <w:kern w:val="0"/>
                <w:sz w:val="18"/>
                <w:szCs w:val="18"/>
              </w:rPr>
              <w:t>万套专用发动机电控单元配件</w:t>
            </w:r>
          </w:p>
        </w:tc>
        <w:tc>
          <w:tcPr>
            <w:tcW w:w="1190"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35,000</w:t>
            </w:r>
          </w:p>
        </w:tc>
        <w:tc>
          <w:tcPr>
            <w:tcW w:w="1148"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45,000</w:t>
            </w:r>
          </w:p>
        </w:tc>
        <w:tc>
          <w:tcPr>
            <w:tcW w:w="1217"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交通运输</w:t>
            </w:r>
          </w:p>
        </w:tc>
        <w:tc>
          <w:tcPr>
            <w:tcW w:w="1442"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上杭县工业园</w:t>
            </w:r>
          </w:p>
        </w:tc>
      </w:tr>
      <w:tr>
        <w:trPr>
          <w:trHeight w:val="270" w:hRule="atLeast"/>
        </w:trPr>
        <w:tc>
          <w:tcPr>
            <w:tcW w:w="560" w:type="dxa"/>
            <w:tcBorders>
              <w:top w:val="nil"/>
              <w:left w:val="single" w:color="auto" w:sz="4" w:space="0"/>
              <w:bottom w:val="single" w:color="auto" w:sz="4" w:space="0"/>
              <w:right w:val="single" w:color="auto" w:sz="4" w:space="0"/>
            </w:tcBorders>
            <w:shd w:val="clear" w:color="000000" w:fill="D9D9D9"/>
            <w:vAlign w:val="center"/>
          </w:tcPr>
          <w:p>
            <w:pPr>
              <w:widowControl/>
              <w:jc w:val="center"/>
              <w:rPr>
                <w:rFonts w:ascii="宋体" w:cs="Times New Roman"/>
                <w:b/>
                <w:bCs/>
                <w:kern w:val="0"/>
                <w:sz w:val="18"/>
                <w:szCs w:val="18"/>
              </w:rPr>
            </w:pPr>
            <w:r>
              <w:rPr>
                <w:rFonts w:ascii="宋体" w:hAnsi="宋体" w:cs="宋体"/>
                <w:b/>
                <w:bCs/>
                <w:kern w:val="0"/>
                <w:sz w:val="18"/>
                <w:szCs w:val="18"/>
              </w:rPr>
              <w:t>78</w:t>
            </w:r>
          </w:p>
        </w:tc>
        <w:tc>
          <w:tcPr>
            <w:tcW w:w="25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铜合金双极板</w:t>
            </w:r>
          </w:p>
        </w:tc>
        <w:tc>
          <w:tcPr>
            <w:tcW w:w="18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烟台万隆金属</w:t>
            </w:r>
          </w:p>
        </w:tc>
        <w:tc>
          <w:tcPr>
            <w:tcW w:w="3947"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年产</w:t>
            </w:r>
            <w:r>
              <w:rPr>
                <w:rFonts w:ascii="宋体" w:hAnsi="宋体" w:cs="宋体"/>
                <w:kern w:val="0"/>
                <w:sz w:val="18"/>
                <w:szCs w:val="18"/>
              </w:rPr>
              <w:t>1</w:t>
            </w:r>
            <w:r>
              <w:rPr>
                <w:rFonts w:hint="eastAsia" w:ascii="宋体" w:hAnsi="宋体" w:cs="宋体"/>
                <w:kern w:val="0"/>
                <w:sz w:val="18"/>
                <w:szCs w:val="18"/>
              </w:rPr>
              <w:t>万吨铜合金双极板</w:t>
            </w:r>
          </w:p>
        </w:tc>
        <w:tc>
          <w:tcPr>
            <w:tcW w:w="1190"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15,000</w:t>
            </w:r>
          </w:p>
        </w:tc>
        <w:tc>
          <w:tcPr>
            <w:tcW w:w="1148"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65,000</w:t>
            </w:r>
          </w:p>
        </w:tc>
        <w:tc>
          <w:tcPr>
            <w:tcW w:w="1217"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交通运输</w:t>
            </w:r>
          </w:p>
        </w:tc>
        <w:tc>
          <w:tcPr>
            <w:tcW w:w="1442"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上杭县工业园</w:t>
            </w:r>
          </w:p>
        </w:tc>
      </w:tr>
      <w:tr>
        <w:trPr>
          <w:trHeight w:val="270" w:hRule="atLeast"/>
        </w:trPr>
        <w:tc>
          <w:tcPr>
            <w:tcW w:w="560" w:type="dxa"/>
            <w:tcBorders>
              <w:top w:val="nil"/>
              <w:left w:val="single" w:color="auto" w:sz="4" w:space="0"/>
              <w:bottom w:val="single" w:color="auto" w:sz="4" w:space="0"/>
              <w:right w:val="single" w:color="auto" w:sz="4" w:space="0"/>
            </w:tcBorders>
            <w:shd w:val="clear" w:color="000000" w:fill="D9D9D9"/>
            <w:vAlign w:val="center"/>
          </w:tcPr>
          <w:p>
            <w:pPr>
              <w:widowControl/>
              <w:jc w:val="center"/>
              <w:rPr>
                <w:rFonts w:ascii="宋体" w:cs="Times New Roman"/>
                <w:b/>
                <w:bCs/>
                <w:kern w:val="0"/>
                <w:sz w:val="18"/>
                <w:szCs w:val="18"/>
              </w:rPr>
            </w:pPr>
            <w:r>
              <w:rPr>
                <w:rFonts w:ascii="宋体" w:hAnsi="宋体" w:cs="宋体"/>
                <w:b/>
                <w:bCs/>
                <w:kern w:val="0"/>
                <w:sz w:val="18"/>
                <w:szCs w:val="18"/>
              </w:rPr>
              <w:t>79</w:t>
            </w:r>
          </w:p>
        </w:tc>
        <w:tc>
          <w:tcPr>
            <w:tcW w:w="25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新能源汽车高压线缆</w:t>
            </w:r>
          </w:p>
        </w:tc>
        <w:tc>
          <w:tcPr>
            <w:tcW w:w="18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上海旭通</w:t>
            </w:r>
          </w:p>
        </w:tc>
        <w:tc>
          <w:tcPr>
            <w:tcW w:w="3947"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年产</w:t>
            </w:r>
            <w:r>
              <w:rPr>
                <w:rFonts w:ascii="宋体" w:hAnsi="宋体" w:cs="宋体"/>
                <w:kern w:val="0"/>
                <w:sz w:val="18"/>
                <w:szCs w:val="18"/>
              </w:rPr>
              <w:t>200</w:t>
            </w:r>
            <w:r>
              <w:rPr>
                <w:rFonts w:hint="eastAsia" w:ascii="宋体" w:hAnsi="宋体" w:cs="宋体"/>
                <w:kern w:val="0"/>
                <w:sz w:val="18"/>
                <w:szCs w:val="18"/>
              </w:rPr>
              <w:t>公里新能源汽车高压线缆</w:t>
            </w:r>
          </w:p>
        </w:tc>
        <w:tc>
          <w:tcPr>
            <w:tcW w:w="1190"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50,000</w:t>
            </w:r>
          </w:p>
        </w:tc>
        <w:tc>
          <w:tcPr>
            <w:tcW w:w="1148"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140,000</w:t>
            </w:r>
          </w:p>
        </w:tc>
        <w:tc>
          <w:tcPr>
            <w:tcW w:w="1217"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交通运输</w:t>
            </w:r>
          </w:p>
        </w:tc>
        <w:tc>
          <w:tcPr>
            <w:tcW w:w="1442"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上杭县工业园</w:t>
            </w:r>
          </w:p>
        </w:tc>
      </w:tr>
      <w:tr>
        <w:trPr>
          <w:trHeight w:val="450" w:hRule="atLeast"/>
        </w:trPr>
        <w:tc>
          <w:tcPr>
            <w:tcW w:w="560" w:type="dxa"/>
            <w:tcBorders>
              <w:top w:val="nil"/>
              <w:left w:val="single" w:color="auto" w:sz="4" w:space="0"/>
              <w:bottom w:val="single" w:color="auto" w:sz="4" w:space="0"/>
              <w:right w:val="single" w:color="auto" w:sz="4" w:space="0"/>
            </w:tcBorders>
            <w:shd w:val="clear" w:color="000000" w:fill="D9D9D9"/>
            <w:vAlign w:val="center"/>
          </w:tcPr>
          <w:p>
            <w:pPr>
              <w:widowControl/>
              <w:jc w:val="center"/>
              <w:rPr>
                <w:rFonts w:ascii="宋体" w:cs="Times New Roman"/>
                <w:b/>
                <w:bCs/>
                <w:kern w:val="0"/>
                <w:sz w:val="18"/>
                <w:szCs w:val="18"/>
              </w:rPr>
            </w:pPr>
            <w:r>
              <w:rPr>
                <w:rFonts w:ascii="宋体" w:hAnsi="宋体" w:cs="宋体"/>
                <w:b/>
                <w:bCs/>
                <w:kern w:val="0"/>
                <w:sz w:val="18"/>
                <w:szCs w:val="18"/>
              </w:rPr>
              <w:t>80</w:t>
            </w:r>
          </w:p>
        </w:tc>
        <w:tc>
          <w:tcPr>
            <w:tcW w:w="2562" w:type="dxa"/>
            <w:tcBorders>
              <w:top w:val="nil"/>
              <w:left w:val="nil"/>
              <w:bottom w:val="single" w:color="auto" w:sz="4" w:space="0"/>
              <w:right w:val="single" w:color="auto" w:sz="4" w:space="0"/>
            </w:tcBorders>
            <w:shd w:val="clear" w:color="000000" w:fill="FFFFFF"/>
            <w:vAlign w:val="center"/>
          </w:tcPr>
          <w:p>
            <w:pPr>
              <w:widowControl/>
              <w:spacing w:line="260" w:lineRule="exact"/>
              <w:jc w:val="left"/>
              <w:rPr>
                <w:rFonts w:ascii="宋体" w:cs="Times New Roman"/>
                <w:kern w:val="0"/>
                <w:sz w:val="18"/>
                <w:szCs w:val="18"/>
              </w:rPr>
            </w:pPr>
            <w:r>
              <w:rPr>
                <w:rFonts w:hint="eastAsia" w:ascii="宋体" w:hAnsi="宋体" w:cs="宋体"/>
                <w:kern w:val="0"/>
                <w:sz w:val="18"/>
                <w:szCs w:val="18"/>
              </w:rPr>
              <w:t>超细微铜丝（或超细微漆包线）生产项目</w:t>
            </w:r>
          </w:p>
        </w:tc>
        <w:tc>
          <w:tcPr>
            <w:tcW w:w="18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招商引资</w:t>
            </w:r>
          </w:p>
        </w:tc>
        <w:tc>
          <w:tcPr>
            <w:tcW w:w="3947"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年产</w:t>
            </w:r>
            <w:r>
              <w:rPr>
                <w:rFonts w:ascii="宋体" w:hAnsi="宋体" w:cs="宋体"/>
                <w:kern w:val="0"/>
                <w:sz w:val="18"/>
                <w:szCs w:val="18"/>
              </w:rPr>
              <w:t>5</w:t>
            </w:r>
            <w:r>
              <w:rPr>
                <w:rFonts w:hint="eastAsia" w:ascii="宋体" w:hAnsi="宋体" w:cs="宋体"/>
                <w:kern w:val="0"/>
                <w:sz w:val="18"/>
                <w:szCs w:val="18"/>
              </w:rPr>
              <w:t>万吨超细微铜导体生产项目</w:t>
            </w:r>
          </w:p>
        </w:tc>
        <w:tc>
          <w:tcPr>
            <w:tcW w:w="1190"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100,000</w:t>
            </w:r>
          </w:p>
        </w:tc>
        <w:tc>
          <w:tcPr>
            <w:tcW w:w="1148"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350,000</w:t>
            </w:r>
          </w:p>
        </w:tc>
        <w:tc>
          <w:tcPr>
            <w:tcW w:w="1217"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交通运输</w:t>
            </w:r>
          </w:p>
        </w:tc>
        <w:tc>
          <w:tcPr>
            <w:tcW w:w="1442"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上杭县工业园</w:t>
            </w:r>
          </w:p>
        </w:tc>
      </w:tr>
      <w:tr>
        <w:trPr>
          <w:trHeight w:val="450" w:hRule="atLeast"/>
        </w:trPr>
        <w:tc>
          <w:tcPr>
            <w:tcW w:w="560" w:type="dxa"/>
            <w:tcBorders>
              <w:top w:val="nil"/>
              <w:left w:val="single" w:color="auto" w:sz="4" w:space="0"/>
              <w:bottom w:val="single" w:color="auto" w:sz="4" w:space="0"/>
              <w:right w:val="single" w:color="auto" w:sz="4" w:space="0"/>
            </w:tcBorders>
            <w:shd w:val="clear" w:color="000000" w:fill="D9D9D9"/>
            <w:vAlign w:val="center"/>
          </w:tcPr>
          <w:p>
            <w:pPr>
              <w:widowControl/>
              <w:jc w:val="center"/>
              <w:rPr>
                <w:rFonts w:ascii="宋体" w:cs="Times New Roman"/>
                <w:b/>
                <w:bCs/>
                <w:kern w:val="0"/>
                <w:sz w:val="18"/>
                <w:szCs w:val="18"/>
              </w:rPr>
            </w:pPr>
            <w:r>
              <w:rPr>
                <w:rFonts w:ascii="宋体" w:hAnsi="宋体" w:cs="宋体"/>
                <w:b/>
                <w:bCs/>
                <w:kern w:val="0"/>
                <w:sz w:val="18"/>
                <w:szCs w:val="18"/>
              </w:rPr>
              <w:t>81</w:t>
            </w:r>
          </w:p>
        </w:tc>
        <w:tc>
          <w:tcPr>
            <w:tcW w:w="2562" w:type="dxa"/>
            <w:tcBorders>
              <w:top w:val="nil"/>
              <w:left w:val="nil"/>
              <w:bottom w:val="single" w:color="auto" w:sz="4" w:space="0"/>
              <w:right w:val="single" w:color="auto" w:sz="4" w:space="0"/>
            </w:tcBorders>
            <w:shd w:val="clear" w:color="000000" w:fill="FFFFFF"/>
            <w:vAlign w:val="center"/>
          </w:tcPr>
          <w:p>
            <w:pPr>
              <w:widowControl/>
              <w:spacing w:line="260" w:lineRule="exact"/>
              <w:jc w:val="left"/>
              <w:rPr>
                <w:rFonts w:ascii="宋体" w:cs="Times New Roman"/>
                <w:kern w:val="0"/>
                <w:sz w:val="18"/>
                <w:szCs w:val="18"/>
              </w:rPr>
            </w:pPr>
            <w:r>
              <w:rPr>
                <w:rFonts w:hint="eastAsia" w:ascii="宋体" w:hAnsi="宋体" w:cs="宋体"/>
                <w:kern w:val="0"/>
                <w:sz w:val="18"/>
                <w:szCs w:val="18"/>
              </w:rPr>
              <w:t>锂电池正负极材料专用设备生产项目</w:t>
            </w:r>
          </w:p>
        </w:tc>
        <w:tc>
          <w:tcPr>
            <w:tcW w:w="18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待招商</w:t>
            </w:r>
          </w:p>
        </w:tc>
        <w:tc>
          <w:tcPr>
            <w:tcW w:w="3947"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年产生产制造电池正负极材料专用设备</w:t>
            </w:r>
            <w:r>
              <w:rPr>
                <w:rFonts w:ascii="宋体" w:hAnsi="宋体" w:cs="宋体"/>
                <w:kern w:val="0"/>
                <w:sz w:val="18"/>
                <w:szCs w:val="18"/>
              </w:rPr>
              <w:t>—</w:t>
            </w:r>
            <w:r>
              <w:rPr>
                <w:rFonts w:hint="eastAsia" w:ascii="宋体" w:hAnsi="宋体" w:cs="宋体"/>
                <w:kern w:val="0"/>
                <w:sz w:val="18"/>
                <w:szCs w:val="18"/>
              </w:rPr>
              <w:t>辊道炉</w:t>
            </w:r>
            <w:r>
              <w:rPr>
                <w:rFonts w:ascii="宋体" w:hAnsi="宋体" w:cs="宋体"/>
                <w:kern w:val="0"/>
                <w:sz w:val="18"/>
                <w:szCs w:val="18"/>
              </w:rPr>
              <w:t>200</w:t>
            </w:r>
            <w:r>
              <w:rPr>
                <w:rFonts w:hint="eastAsia" w:ascii="宋体" w:hAnsi="宋体" w:cs="宋体"/>
                <w:kern w:val="0"/>
                <w:sz w:val="18"/>
                <w:szCs w:val="18"/>
              </w:rPr>
              <w:t>套项目生产项目</w:t>
            </w:r>
          </w:p>
        </w:tc>
        <w:tc>
          <w:tcPr>
            <w:tcW w:w="1190"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101,000</w:t>
            </w:r>
          </w:p>
        </w:tc>
        <w:tc>
          <w:tcPr>
            <w:tcW w:w="1148"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w:t>
            </w:r>
          </w:p>
        </w:tc>
        <w:tc>
          <w:tcPr>
            <w:tcW w:w="1217"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交通运输</w:t>
            </w:r>
          </w:p>
        </w:tc>
        <w:tc>
          <w:tcPr>
            <w:tcW w:w="1442"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上杭县工业园</w:t>
            </w:r>
          </w:p>
        </w:tc>
      </w:tr>
      <w:tr>
        <w:trPr>
          <w:trHeight w:val="450" w:hRule="atLeast"/>
        </w:trPr>
        <w:tc>
          <w:tcPr>
            <w:tcW w:w="560" w:type="dxa"/>
            <w:tcBorders>
              <w:top w:val="nil"/>
              <w:left w:val="single" w:color="auto" w:sz="4" w:space="0"/>
              <w:bottom w:val="single" w:color="auto" w:sz="4" w:space="0"/>
              <w:right w:val="single" w:color="auto" w:sz="4" w:space="0"/>
            </w:tcBorders>
            <w:shd w:val="clear" w:color="000000" w:fill="D9D9D9"/>
            <w:vAlign w:val="center"/>
          </w:tcPr>
          <w:p>
            <w:pPr>
              <w:widowControl/>
              <w:jc w:val="center"/>
              <w:rPr>
                <w:rFonts w:ascii="宋体" w:cs="Times New Roman"/>
                <w:b/>
                <w:bCs/>
                <w:kern w:val="0"/>
                <w:sz w:val="18"/>
                <w:szCs w:val="18"/>
              </w:rPr>
            </w:pPr>
            <w:r>
              <w:rPr>
                <w:rFonts w:ascii="宋体" w:hAnsi="宋体" w:cs="宋体"/>
                <w:b/>
                <w:bCs/>
                <w:kern w:val="0"/>
                <w:sz w:val="18"/>
                <w:szCs w:val="18"/>
              </w:rPr>
              <w:t>82</w:t>
            </w:r>
          </w:p>
        </w:tc>
        <w:tc>
          <w:tcPr>
            <w:tcW w:w="25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高铁铜材项目</w:t>
            </w:r>
          </w:p>
        </w:tc>
        <w:tc>
          <w:tcPr>
            <w:tcW w:w="1862" w:type="dxa"/>
            <w:tcBorders>
              <w:top w:val="nil"/>
              <w:left w:val="nil"/>
              <w:bottom w:val="single" w:color="auto" w:sz="4" w:space="0"/>
              <w:right w:val="single" w:color="auto" w:sz="4" w:space="0"/>
            </w:tcBorders>
            <w:shd w:val="clear" w:color="000000" w:fill="FFFFFF"/>
            <w:vAlign w:val="center"/>
          </w:tcPr>
          <w:p>
            <w:pPr>
              <w:widowControl/>
              <w:spacing w:line="260" w:lineRule="exact"/>
              <w:jc w:val="left"/>
              <w:rPr>
                <w:rFonts w:ascii="宋体" w:cs="Times New Roman"/>
                <w:kern w:val="0"/>
                <w:sz w:val="18"/>
                <w:szCs w:val="18"/>
              </w:rPr>
            </w:pPr>
            <w:r>
              <w:rPr>
                <w:rFonts w:hint="eastAsia" w:ascii="宋体" w:hAnsi="宋体" w:cs="宋体"/>
                <w:kern w:val="0"/>
                <w:sz w:val="18"/>
                <w:szCs w:val="18"/>
              </w:rPr>
              <w:t>上杭太阳铜业有限公司</w:t>
            </w:r>
          </w:p>
        </w:tc>
        <w:tc>
          <w:tcPr>
            <w:tcW w:w="3947" w:type="dxa"/>
            <w:tcBorders>
              <w:top w:val="nil"/>
              <w:left w:val="nil"/>
              <w:bottom w:val="single" w:color="auto" w:sz="4" w:space="0"/>
              <w:right w:val="single" w:color="auto" w:sz="4" w:space="0"/>
            </w:tcBorders>
            <w:shd w:val="clear" w:color="000000" w:fill="FFFFFF"/>
            <w:vAlign w:val="center"/>
          </w:tcPr>
          <w:p>
            <w:pPr>
              <w:widowControl/>
              <w:spacing w:line="260" w:lineRule="exact"/>
              <w:jc w:val="left"/>
              <w:rPr>
                <w:rFonts w:ascii="宋体" w:cs="Times New Roman"/>
                <w:kern w:val="0"/>
                <w:sz w:val="18"/>
                <w:szCs w:val="18"/>
              </w:rPr>
            </w:pPr>
            <w:r>
              <w:rPr>
                <w:rFonts w:hint="eastAsia" w:ascii="宋体" w:hAnsi="宋体" w:cs="宋体"/>
                <w:kern w:val="0"/>
                <w:sz w:val="18"/>
                <w:szCs w:val="18"/>
              </w:rPr>
              <w:t>年产</w:t>
            </w:r>
            <w:r>
              <w:rPr>
                <w:rFonts w:ascii="宋体" w:hAnsi="宋体" w:cs="宋体"/>
                <w:kern w:val="0"/>
                <w:sz w:val="18"/>
                <w:szCs w:val="18"/>
              </w:rPr>
              <w:t>1.5</w:t>
            </w:r>
            <w:r>
              <w:rPr>
                <w:rFonts w:hint="eastAsia" w:ascii="宋体" w:hAnsi="宋体" w:cs="宋体"/>
                <w:kern w:val="0"/>
                <w:sz w:val="18"/>
                <w:szCs w:val="18"/>
              </w:rPr>
              <w:t>万吨、时速</w:t>
            </w:r>
            <w:r>
              <w:rPr>
                <w:rFonts w:ascii="宋体" w:hAnsi="宋体" w:cs="宋体"/>
                <w:kern w:val="0"/>
                <w:sz w:val="18"/>
                <w:szCs w:val="18"/>
              </w:rPr>
              <w:t>350km/h</w:t>
            </w:r>
            <w:r>
              <w:rPr>
                <w:rFonts w:hint="eastAsia" w:ascii="宋体" w:hAnsi="宋体" w:cs="宋体"/>
                <w:kern w:val="0"/>
                <w:sz w:val="18"/>
                <w:szCs w:val="18"/>
              </w:rPr>
              <w:t>以上高铁用接触性、承力索铜合金线材料生产项目</w:t>
            </w:r>
          </w:p>
        </w:tc>
        <w:tc>
          <w:tcPr>
            <w:tcW w:w="1190"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20,000</w:t>
            </w:r>
          </w:p>
        </w:tc>
        <w:tc>
          <w:tcPr>
            <w:tcW w:w="1148"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135,000</w:t>
            </w:r>
          </w:p>
        </w:tc>
        <w:tc>
          <w:tcPr>
            <w:tcW w:w="1217"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交通运输</w:t>
            </w:r>
          </w:p>
        </w:tc>
        <w:tc>
          <w:tcPr>
            <w:tcW w:w="1442"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上杭县工业园</w:t>
            </w:r>
          </w:p>
        </w:tc>
      </w:tr>
      <w:tr>
        <w:trPr>
          <w:trHeight w:val="450" w:hRule="atLeast"/>
        </w:trPr>
        <w:tc>
          <w:tcPr>
            <w:tcW w:w="560" w:type="dxa"/>
            <w:tcBorders>
              <w:top w:val="nil"/>
              <w:left w:val="single" w:color="auto" w:sz="4" w:space="0"/>
              <w:bottom w:val="single" w:color="auto" w:sz="4" w:space="0"/>
              <w:right w:val="single" w:color="auto" w:sz="4" w:space="0"/>
            </w:tcBorders>
            <w:shd w:val="clear" w:color="000000" w:fill="D9D9D9"/>
            <w:vAlign w:val="center"/>
          </w:tcPr>
          <w:p>
            <w:pPr>
              <w:widowControl/>
              <w:jc w:val="center"/>
              <w:rPr>
                <w:rFonts w:ascii="宋体" w:cs="Times New Roman"/>
                <w:b/>
                <w:bCs/>
                <w:kern w:val="0"/>
                <w:sz w:val="18"/>
                <w:szCs w:val="18"/>
              </w:rPr>
            </w:pPr>
            <w:r>
              <w:rPr>
                <w:rFonts w:ascii="宋体" w:hAnsi="宋体" w:cs="宋体"/>
                <w:b/>
                <w:bCs/>
                <w:kern w:val="0"/>
                <w:sz w:val="18"/>
                <w:szCs w:val="18"/>
              </w:rPr>
              <w:t>83</w:t>
            </w:r>
          </w:p>
        </w:tc>
        <w:tc>
          <w:tcPr>
            <w:tcW w:w="25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汽车同步器齿环铜合金材料项目</w:t>
            </w:r>
          </w:p>
        </w:tc>
        <w:tc>
          <w:tcPr>
            <w:tcW w:w="1862" w:type="dxa"/>
            <w:tcBorders>
              <w:top w:val="nil"/>
              <w:left w:val="nil"/>
              <w:bottom w:val="single" w:color="auto" w:sz="4" w:space="0"/>
              <w:right w:val="single" w:color="auto" w:sz="4" w:space="0"/>
            </w:tcBorders>
            <w:shd w:val="clear" w:color="000000" w:fill="FFFFFF"/>
            <w:vAlign w:val="center"/>
          </w:tcPr>
          <w:p>
            <w:pPr>
              <w:widowControl/>
              <w:spacing w:line="260" w:lineRule="exact"/>
              <w:jc w:val="left"/>
              <w:rPr>
                <w:rFonts w:ascii="宋体" w:cs="Times New Roman"/>
                <w:kern w:val="0"/>
                <w:sz w:val="18"/>
                <w:szCs w:val="18"/>
              </w:rPr>
            </w:pPr>
            <w:r>
              <w:rPr>
                <w:rFonts w:hint="eastAsia" w:ascii="宋体" w:hAnsi="宋体" w:cs="宋体"/>
                <w:kern w:val="0"/>
                <w:sz w:val="18"/>
                <w:szCs w:val="18"/>
              </w:rPr>
              <w:t>福建金艺铜业有限公司</w:t>
            </w:r>
          </w:p>
        </w:tc>
        <w:tc>
          <w:tcPr>
            <w:tcW w:w="3947" w:type="dxa"/>
            <w:tcBorders>
              <w:top w:val="nil"/>
              <w:left w:val="nil"/>
              <w:bottom w:val="single" w:color="auto" w:sz="4" w:space="0"/>
              <w:right w:val="single" w:color="auto" w:sz="4" w:space="0"/>
            </w:tcBorders>
            <w:shd w:val="clear" w:color="000000" w:fill="FFFFFF"/>
            <w:vAlign w:val="center"/>
          </w:tcPr>
          <w:p>
            <w:pPr>
              <w:widowControl/>
              <w:spacing w:line="260" w:lineRule="exact"/>
              <w:jc w:val="left"/>
              <w:rPr>
                <w:rFonts w:ascii="宋体" w:cs="Times New Roman"/>
                <w:kern w:val="0"/>
                <w:sz w:val="18"/>
                <w:szCs w:val="18"/>
              </w:rPr>
            </w:pPr>
            <w:r>
              <w:rPr>
                <w:rFonts w:hint="eastAsia" w:ascii="宋体" w:hAnsi="宋体" w:cs="宋体"/>
                <w:kern w:val="0"/>
                <w:sz w:val="18"/>
                <w:szCs w:val="18"/>
              </w:rPr>
              <w:t>年产</w:t>
            </w:r>
            <w:r>
              <w:rPr>
                <w:rFonts w:ascii="宋体" w:hAnsi="宋体" w:cs="宋体"/>
                <w:kern w:val="0"/>
                <w:sz w:val="18"/>
                <w:szCs w:val="18"/>
              </w:rPr>
              <w:t>1</w:t>
            </w:r>
            <w:r>
              <w:rPr>
                <w:rFonts w:hint="eastAsia" w:ascii="宋体" w:hAnsi="宋体" w:cs="宋体"/>
                <w:kern w:val="0"/>
                <w:sz w:val="18"/>
                <w:szCs w:val="18"/>
              </w:rPr>
              <w:t>万吨高强耐磨同步器齿环铜合金管材和</w:t>
            </w:r>
            <w:r>
              <w:rPr>
                <w:rFonts w:ascii="宋体" w:hAnsi="宋体" w:cs="宋体"/>
                <w:kern w:val="0"/>
                <w:sz w:val="18"/>
                <w:szCs w:val="18"/>
              </w:rPr>
              <w:t>3000</w:t>
            </w:r>
            <w:r>
              <w:rPr>
                <w:rFonts w:hint="eastAsia" w:ascii="宋体" w:hAnsi="宋体" w:cs="宋体"/>
                <w:kern w:val="0"/>
                <w:sz w:val="18"/>
                <w:szCs w:val="18"/>
              </w:rPr>
              <w:t>万件齿环材料生产项目</w:t>
            </w:r>
          </w:p>
        </w:tc>
        <w:tc>
          <w:tcPr>
            <w:tcW w:w="1190"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15,000</w:t>
            </w:r>
          </w:p>
        </w:tc>
        <w:tc>
          <w:tcPr>
            <w:tcW w:w="1148"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65,000</w:t>
            </w:r>
          </w:p>
        </w:tc>
        <w:tc>
          <w:tcPr>
            <w:tcW w:w="1217"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交通运输</w:t>
            </w:r>
          </w:p>
        </w:tc>
        <w:tc>
          <w:tcPr>
            <w:tcW w:w="1442"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上杭县工业园</w:t>
            </w:r>
          </w:p>
        </w:tc>
      </w:tr>
      <w:tr>
        <w:trPr>
          <w:trHeight w:val="450" w:hRule="atLeast"/>
        </w:trPr>
        <w:tc>
          <w:tcPr>
            <w:tcW w:w="560" w:type="dxa"/>
            <w:tcBorders>
              <w:top w:val="nil"/>
              <w:left w:val="single" w:color="auto" w:sz="4" w:space="0"/>
              <w:bottom w:val="single" w:color="auto" w:sz="4" w:space="0"/>
              <w:right w:val="single" w:color="auto" w:sz="4" w:space="0"/>
            </w:tcBorders>
            <w:shd w:val="clear" w:color="000000" w:fill="D9D9D9"/>
            <w:vAlign w:val="center"/>
          </w:tcPr>
          <w:p>
            <w:pPr>
              <w:widowControl/>
              <w:jc w:val="center"/>
              <w:rPr>
                <w:rFonts w:ascii="宋体" w:cs="Times New Roman"/>
                <w:b/>
                <w:bCs/>
                <w:kern w:val="0"/>
                <w:sz w:val="18"/>
                <w:szCs w:val="18"/>
              </w:rPr>
            </w:pPr>
            <w:r>
              <w:rPr>
                <w:rFonts w:ascii="宋体" w:hAnsi="宋体" w:cs="宋体"/>
                <w:b/>
                <w:bCs/>
                <w:kern w:val="0"/>
                <w:sz w:val="18"/>
                <w:szCs w:val="18"/>
              </w:rPr>
              <w:t>84</w:t>
            </w:r>
          </w:p>
        </w:tc>
        <w:tc>
          <w:tcPr>
            <w:tcW w:w="25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高强耐磨铜套生产线建设项目</w:t>
            </w:r>
          </w:p>
        </w:tc>
        <w:tc>
          <w:tcPr>
            <w:tcW w:w="1862" w:type="dxa"/>
            <w:tcBorders>
              <w:top w:val="nil"/>
              <w:left w:val="nil"/>
              <w:bottom w:val="single" w:color="auto" w:sz="4" w:space="0"/>
              <w:right w:val="single" w:color="auto" w:sz="4" w:space="0"/>
            </w:tcBorders>
            <w:shd w:val="clear" w:color="000000" w:fill="FFFFFF"/>
            <w:vAlign w:val="center"/>
          </w:tcPr>
          <w:p>
            <w:pPr>
              <w:widowControl/>
              <w:spacing w:line="260" w:lineRule="exact"/>
              <w:jc w:val="left"/>
              <w:rPr>
                <w:rFonts w:ascii="宋体" w:cs="Times New Roman"/>
                <w:kern w:val="0"/>
                <w:sz w:val="18"/>
                <w:szCs w:val="18"/>
              </w:rPr>
            </w:pPr>
            <w:r>
              <w:rPr>
                <w:rFonts w:hint="eastAsia" w:ascii="宋体" w:hAnsi="宋体" w:cs="宋体"/>
                <w:kern w:val="0"/>
                <w:sz w:val="18"/>
                <w:szCs w:val="18"/>
              </w:rPr>
              <w:t>豪能股份、福建紫金铜业</w:t>
            </w:r>
          </w:p>
        </w:tc>
        <w:tc>
          <w:tcPr>
            <w:tcW w:w="3947"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建设年产</w:t>
            </w:r>
            <w:r>
              <w:rPr>
                <w:rFonts w:ascii="宋体" w:hAnsi="宋体" w:cs="宋体"/>
                <w:kern w:val="0"/>
                <w:sz w:val="18"/>
                <w:szCs w:val="18"/>
              </w:rPr>
              <w:t>1</w:t>
            </w:r>
            <w:r>
              <w:rPr>
                <w:rFonts w:hint="eastAsia" w:ascii="宋体" w:hAnsi="宋体" w:cs="宋体"/>
                <w:kern w:val="0"/>
                <w:sz w:val="18"/>
                <w:szCs w:val="18"/>
              </w:rPr>
              <w:t>万吨高强耐磨汽车铜套生产线项目</w:t>
            </w:r>
          </w:p>
        </w:tc>
        <w:tc>
          <w:tcPr>
            <w:tcW w:w="1190"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28,000</w:t>
            </w:r>
          </w:p>
        </w:tc>
        <w:tc>
          <w:tcPr>
            <w:tcW w:w="1148"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60,000</w:t>
            </w:r>
          </w:p>
        </w:tc>
        <w:tc>
          <w:tcPr>
            <w:tcW w:w="1217"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交通运输</w:t>
            </w:r>
          </w:p>
        </w:tc>
        <w:tc>
          <w:tcPr>
            <w:tcW w:w="1442"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上杭县工业园</w:t>
            </w:r>
          </w:p>
        </w:tc>
      </w:tr>
      <w:tr>
        <w:trPr>
          <w:trHeight w:val="270" w:hRule="atLeast"/>
        </w:trPr>
        <w:tc>
          <w:tcPr>
            <w:tcW w:w="560" w:type="dxa"/>
            <w:tcBorders>
              <w:top w:val="nil"/>
              <w:left w:val="single" w:color="auto" w:sz="4" w:space="0"/>
              <w:bottom w:val="single" w:color="auto" w:sz="4" w:space="0"/>
              <w:right w:val="single" w:color="auto" w:sz="4" w:space="0"/>
            </w:tcBorders>
            <w:shd w:val="clear" w:color="000000" w:fill="D9D9D9"/>
            <w:vAlign w:val="center"/>
          </w:tcPr>
          <w:p>
            <w:pPr>
              <w:widowControl/>
              <w:jc w:val="center"/>
              <w:rPr>
                <w:rFonts w:ascii="宋体" w:cs="Times New Roman"/>
                <w:b/>
                <w:bCs/>
                <w:kern w:val="0"/>
                <w:sz w:val="18"/>
                <w:szCs w:val="18"/>
              </w:rPr>
            </w:pPr>
            <w:r>
              <w:rPr>
                <w:rFonts w:ascii="宋体" w:hAnsi="宋体" w:cs="宋体"/>
                <w:b/>
                <w:bCs/>
                <w:kern w:val="0"/>
                <w:sz w:val="18"/>
                <w:szCs w:val="18"/>
              </w:rPr>
              <w:t>85</w:t>
            </w:r>
          </w:p>
        </w:tc>
        <w:tc>
          <w:tcPr>
            <w:tcW w:w="25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汽车自动变速箱项目</w:t>
            </w:r>
          </w:p>
        </w:tc>
        <w:tc>
          <w:tcPr>
            <w:tcW w:w="18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宝能集团、比亚迪</w:t>
            </w:r>
          </w:p>
        </w:tc>
        <w:tc>
          <w:tcPr>
            <w:tcW w:w="3947"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ascii="宋体" w:hAnsi="宋体" w:cs="宋体"/>
                <w:kern w:val="0"/>
                <w:sz w:val="18"/>
                <w:szCs w:val="18"/>
              </w:rPr>
              <w:t>100</w:t>
            </w:r>
            <w:r>
              <w:rPr>
                <w:rFonts w:hint="eastAsia" w:ascii="宋体" w:hAnsi="宋体" w:cs="宋体"/>
                <w:kern w:val="0"/>
                <w:sz w:val="18"/>
                <w:szCs w:val="18"/>
              </w:rPr>
              <w:t>万套汽车自动变速箱生产项目</w:t>
            </w:r>
          </w:p>
        </w:tc>
        <w:tc>
          <w:tcPr>
            <w:tcW w:w="1190"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40,000</w:t>
            </w:r>
          </w:p>
        </w:tc>
        <w:tc>
          <w:tcPr>
            <w:tcW w:w="1148"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350,000</w:t>
            </w:r>
          </w:p>
        </w:tc>
        <w:tc>
          <w:tcPr>
            <w:tcW w:w="1217"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交通运输</w:t>
            </w:r>
          </w:p>
        </w:tc>
        <w:tc>
          <w:tcPr>
            <w:tcW w:w="1442"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上杭县工业园</w:t>
            </w:r>
          </w:p>
        </w:tc>
      </w:tr>
      <w:tr>
        <w:trPr>
          <w:trHeight w:val="450" w:hRule="atLeast"/>
        </w:trPr>
        <w:tc>
          <w:tcPr>
            <w:tcW w:w="560" w:type="dxa"/>
            <w:tcBorders>
              <w:top w:val="nil"/>
              <w:left w:val="single" w:color="auto" w:sz="4" w:space="0"/>
              <w:bottom w:val="single" w:color="auto" w:sz="4" w:space="0"/>
              <w:right w:val="single" w:color="auto" w:sz="4" w:space="0"/>
            </w:tcBorders>
            <w:shd w:val="clear" w:color="000000" w:fill="D9D9D9"/>
            <w:vAlign w:val="center"/>
          </w:tcPr>
          <w:p>
            <w:pPr>
              <w:widowControl/>
              <w:jc w:val="center"/>
              <w:rPr>
                <w:rFonts w:ascii="宋体" w:cs="Times New Roman"/>
                <w:b/>
                <w:bCs/>
                <w:kern w:val="0"/>
                <w:sz w:val="18"/>
                <w:szCs w:val="18"/>
              </w:rPr>
            </w:pPr>
            <w:r>
              <w:rPr>
                <w:rFonts w:ascii="宋体" w:hAnsi="宋体" w:cs="宋体"/>
                <w:b/>
                <w:bCs/>
                <w:kern w:val="0"/>
                <w:sz w:val="18"/>
                <w:szCs w:val="18"/>
              </w:rPr>
              <w:t>86</w:t>
            </w:r>
          </w:p>
        </w:tc>
        <w:tc>
          <w:tcPr>
            <w:tcW w:w="25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新型铜钢复合材料生产项目</w:t>
            </w:r>
          </w:p>
        </w:tc>
        <w:tc>
          <w:tcPr>
            <w:tcW w:w="18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招商引资</w:t>
            </w:r>
          </w:p>
        </w:tc>
        <w:tc>
          <w:tcPr>
            <w:tcW w:w="3947"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年产</w:t>
            </w:r>
            <w:r>
              <w:rPr>
                <w:rFonts w:ascii="宋体" w:hAnsi="宋体" w:cs="宋体"/>
                <w:kern w:val="0"/>
                <w:sz w:val="18"/>
                <w:szCs w:val="18"/>
              </w:rPr>
              <w:t>8</w:t>
            </w:r>
            <w:r>
              <w:rPr>
                <w:rFonts w:hint="eastAsia" w:ascii="宋体" w:hAnsi="宋体" w:cs="宋体"/>
                <w:kern w:val="0"/>
                <w:sz w:val="18"/>
                <w:szCs w:val="18"/>
              </w:rPr>
              <w:t>万吨铜钢复合材料生产能力生产项目</w:t>
            </w:r>
          </w:p>
        </w:tc>
        <w:tc>
          <w:tcPr>
            <w:tcW w:w="1190"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100,000</w:t>
            </w:r>
          </w:p>
        </w:tc>
        <w:tc>
          <w:tcPr>
            <w:tcW w:w="1148"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176,000</w:t>
            </w:r>
          </w:p>
        </w:tc>
        <w:tc>
          <w:tcPr>
            <w:tcW w:w="1217"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交通运输</w:t>
            </w:r>
          </w:p>
        </w:tc>
        <w:tc>
          <w:tcPr>
            <w:tcW w:w="1442"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上杭县工业园</w:t>
            </w:r>
          </w:p>
        </w:tc>
      </w:tr>
      <w:tr>
        <w:trPr>
          <w:trHeight w:val="450" w:hRule="atLeast"/>
        </w:trPr>
        <w:tc>
          <w:tcPr>
            <w:tcW w:w="560" w:type="dxa"/>
            <w:tcBorders>
              <w:top w:val="nil"/>
              <w:left w:val="single" w:color="auto" w:sz="4" w:space="0"/>
              <w:bottom w:val="single" w:color="auto" w:sz="4" w:space="0"/>
              <w:right w:val="single" w:color="auto" w:sz="4" w:space="0"/>
            </w:tcBorders>
            <w:shd w:val="clear" w:color="000000" w:fill="D9D9D9"/>
            <w:vAlign w:val="center"/>
          </w:tcPr>
          <w:p>
            <w:pPr>
              <w:widowControl/>
              <w:jc w:val="center"/>
              <w:rPr>
                <w:rFonts w:ascii="宋体" w:cs="Times New Roman"/>
                <w:b/>
                <w:bCs/>
                <w:kern w:val="0"/>
                <w:sz w:val="18"/>
                <w:szCs w:val="18"/>
              </w:rPr>
            </w:pPr>
            <w:r>
              <w:rPr>
                <w:rFonts w:ascii="宋体" w:hAnsi="宋体" w:cs="宋体"/>
                <w:b/>
                <w:bCs/>
                <w:kern w:val="0"/>
                <w:sz w:val="18"/>
                <w:szCs w:val="18"/>
              </w:rPr>
              <w:t>87</w:t>
            </w:r>
          </w:p>
        </w:tc>
        <w:tc>
          <w:tcPr>
            <w:tcW w:w="25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微型直流马达（含汽车电机）项目</w:t>
            </w:r>
          </w:p>
        </w:tc>
        <w:tc>
          <w:tcPr>
            <w:tcW w:w="18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宝能集团、比亚迪</w:t>
            </w:r>
          </w:p>
        </w:tc>
        <w:tc>
          <w:tcPr>
            <w:tcW w:w="3947"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年生产量</w:t>
            </w:r>
            <w:r>
              <w:rPr>
                <w:rFonts w:ascii="宋体" w:hAnsi="宋体" w:cs="宋体"/>
                <w:kern w:val="0"/>
                <w:sz w:val="18"/>
                <w:szCs w:val="18"/>
              </w:rPr>
              <w:t>300</w:t>
            </w:r>
            <w:r>
              <w:rPr>
                <w:rFonts w:hint="eastAsia" w:ascii="宋体" w:hAnsi="宋体" w:cs="宋体"/>
                <w:kern w:val="0"/>
                <w:sz w:val="18"/>
                <w:szCs w:val="18"/>
              </w:rPr>
              <w:t>万台微型（含汽车电机）马达生产项目</w:t>
            </w:r>
          </w:p>
        </w:tc>
        <w:tc>
          <w:tcPr>
            <w:tcW w:w="1190"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20,000</w:t>
            </w:r>
          </w:p>
        </w:tc>
        <w:tc>
          <w:tcPr>
            <w:tcW w:w="1148"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12,000</w:t>
            </w:r>
          </w:p>
        </w:tc>
        <w:tc>
          <w:tcPr>
            <w:tcW w:w="1217"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交通运输</w:t>
            </w:r>
          </w:p>
        </w:tc>
        <w:tc>
          <w:tcPr>
            <w:tcW w:w="1442"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上杭县工业园</w:t>
            </w:r>
          </w:p>
        </w:tc>
      </w:tr>
      <w:tr>
        <w:trPr>
          <w:trHeight w:val="450" w:hRule="atLeast"/>
        </w:trPr>
        <w:tc>
          <w:tcPr>
            <w:tcW w:w="560" w:type="dxa"/>
            <w:tcBorders>
              <w:top w:val="nil"/>
              <w:left w:val="single" w:color="auto" w:sz="4" w:space="0"/>
              <w:bottom w:val="single" w:color="auto" w:sz="4" w:space="0"/>
              <w:right w:val="single" w:color="auto" w:sz="4" w:space="0"/>
            </w:tcBorders>
            <w:shd w:val="clear" w:color="000000" w:fill="D9D9D9"/>
            <w:vAlign w:val="center"/>
          </w:tcPr>
          <w:p>
            <w:pPr>
              <w:widowControl/>
              <w:jc w:val="center"/>
              <w:rPr>
                <w:rFonts w:ascii="宋体" w:cs="Times New Roman"/>
                <w:b/>
                <w:bCs/>
                <w:kern w:val="0"/>
                <w:sz w:val="18"/>
                <w:szCs w:val="18"/>
              </w:rPr>
            </w:pPr>
            <w:r>
              <w:rPr>
                <w:rFonts w:ascii="宋体" w:hAnsi="宋体" w:cs="宋体"/>
                <w:b/>
                <w:bCs/>
                <w:kern w:val="0"/>
                <w:sz w:val="18"/>
                <w:szCs w:val="18"/>
              </w:rPr>
              <w:t>88</w:t>
            </w:r>
          </w:p>
        </w:tc>
        <w:tc>
          <w:tcPr>
            <w:tcW w:w="25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年产</w:t>
            </w:r>
            <w:r>
              <w:rPr>
                <w:rFonts w:ascii="宋体" w:hAnsi="宋体" w:cs="宋体"/>
                <w:kern w:val="0"/>
                <w:sz w:val="18"/>
                <w:szCs w:val="18"/>
              </w:rPr>
              <w:t>1</w:t>
            </w:r>
            <w:r>
              <w:rPr>
                <w:rFonts w:hint="eastAsia" w:ascii="宋体" w:hAnsi="宋体" w:cs="宋体"/>
                <w:kern w:val="0"/>
                <w:sz w:val="18"/>
                <w:szCs w:val="18"/>
              </w:rPr>
              <w:t>万台新能源汽车充电桩项目</w:t>
            </w:r>
          </w:p>
        </w:tc>
        <w:tc>
          <w:tcPr>
            <w:tcW w:w="18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待招商</w:t>
            </w:r>
          </w:p>
        </w:tc>
        <w:tc>
          <w:tcPr>
            <w:tcW w:w="3947"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年产</w:t>
            </w:r>
            <w:r>
              <w:rPr>
                <w:rFonts w:ascii="宋体" w:hAnsi="宋体" w:cs="宋体"/>
                <w:kern w:val="0"/>
                <w:sz w:val="18"/>
                <w:szCs w:val="18"/>
              </w:rPr>
              <w:t>1</w:t>
            </w:r>
            <w:r>
              <w:rPr>
                <w:rFonts w:hint="eastAsia" w:ascii="宋体" w:hAnsi="宋体" w:cs="宋体"/>
                <w:kern w:val="0"/>
                <w:sz w:val="18"/>
                <w:szCs w:val="18"/>
              </w:rPr>
              <w:t>万台新能源汽车充电桩生产能力。</w:t>
            </w:r>
          </w:p>
        </w:tc>
        <w:tc>
          <w:tcPr>
            <w:tcW w:w="1190"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18,000</w:t>
            </w:r>
          </w:p>
        </w:tc>
        <w:tc>
          <w:tcPr>
            <w:tcW w:w="1148"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w:t>
            </w:r>
          </w:p>
        </w:tc>
        <w:tc>
          <w:tcPr>
            <w:tcW w:w="1217"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交通运输</w:t>
            </w:r>
          </w:p>
        </w:tc>
        <w:tc>
          <w:tcPr>
            <w:tcW w:w="1442"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上杭县工业园</w:t>
            </w:r>
          </w:p>
        </w:tc>
      </w:tr>
      <w:tr>
        <w:trPr>
          <w:trHeight w:val="450" w:hRule="atLeast"/>
        </w:trPr>
        <w:tc>
          <w:tcPr>
            <w:tcW w:w="560" w:type="dxa"/>
            <w:tcBorders>
              <w:top w:val="nil"/>
              <w:left w:val="single" w:color="auto" w:sz="4" w:space="0"/>
              <w:bottom w:val="single" w:color="auto" w:sz="4" w:space="0"/>
              <w:right w:val="single" w:color="auto" w:sz="4" w:space="0"/>
            </w:tcBorders>
            <w:shd w:val="clear" w:color="000000" w:fill="D9D9D9"/>
            <w:vAlign w:val="center"/>
          </w:tcPr>
          <w:p>
            <w:pPr>
              <w:widowControl/>
              <w:jc w:val="center"/>
              <w:rPr>
                <w:rFonts w:ascii="宋体" w:cs="Times New Roman"/>
                <w:b/>
                <w:bCs/>
                <w:kern w:val="0"/>
                <w:sz w:val="18"/>
                <w:szCs w:val="18"/>
              </w:rPr>
            </w:pPr>
            <w:r>
              <w:rPr>
                <w:rFonts w:ascii="宋体" w:hAnsi="宋体" w:cs="宋体"/>
                <w:b/>
                <w:bCs/>
                <w:kern w:val="0"/>
                <w:sz w:val="18"/>
                <w:szCs w:val="18"/>
              </w:rPr>
              <w:t>89</w:t>
            </w:r>
          </w:p>
        </w:tc>
        <w:tc>
          <w:tcPr>
            <w:tcW w:w="25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新能源汽车组合线束组件</w:t>
            </w:r>
          </w:p>
        </w:tc>
        <w:tc>
          <w:tcPr>
            <w:tcW w:w="1862" w:type="dxa"/>
            <w:tcBorders>
              <w:top w:val="nil"/>
              <w:left w:val="nil"/>
              <w:bottom w:val="single" w:color="auto" w:sz="4" w:space="0"/>
              <w:right w:val="single" w:color="auto" w:sz="4" w:space="0"/>
            </w:tcBorders>
            <w:shd w:val="clear" w:color="000000" w:fill="FFFFFF"/>
            <w:vAlign w:val="center"/>
          </w:tcPr>
          <w:p>
            <w:pPr>
              <w:widowControl/>
              <w:spacing w:line="260" w:lineRule="exact"/>
              <w:jc w:val="left"/>
              <w:rPr>
                <w:rFonts w:ascii="宋体" w:cs="Times New Roman"/>
                <w:kern w:val="0"/>
                <w:sz w:val="18"/>
                <w:szCs w:val="18"/>
              </w:rPr>
            </w:pPr>
            <w:r>
              <w:rPr>
                <w:rFonts w:hint="eastAsia" w:ascii="宋体" w:hAnsi="宋体" w:cs="宋体"/>
                <w:kern w:val="0"/>
                <w:sz w:val="18"/>
                <w:szCs w:val="18"/>
              </w:rPr>
              <w:t>北京中电电能科技、太阳铜业</w:t>
            </w:r>
          </w:p>
        </w:tc>
        <w:tc>
          <w:tcPr>
            <w:tcW w:w="3947"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年产</w:t>
            </w:r>
            <w:r>
              <w:rPr>
                <w:rFonts w:ascii="宋体" w:hAnsi="宋体" w:cs="宋体"/>
                <w:kern w:val="0"/>
                <w:sz w:val="18"/>
                <w:szCs w:val="18"/>
              </w:rPr>
              <w:t>20</w:t>
            </w:r>
            <w:r>
              <w:rPr>
                <w:rFonts w:hint="eastAsia" w:ascii="宋体" w:hAnsi="宋体" w:cs="宋体"/>
                <w:kern w:val="0"/>
                <w:sz w:val="18"/>
                <w:szCs w:val="18"/>
              </w:rPr>
              <w:t>万套汽车束线总成生产项目</w:t>
            </w:r>
          </w:p>
        </w:tc>
        <w:tc>
          <w:tcPr>
            <w:tcW w:w="1190"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30,000</w:t>
            </w:r>
          </w:p>
        </w:tc>
        <w:tc>
          <w:tcPr>
            <w:tcW w:w="1148"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68,000</w:t>
            </w:r>
          </w:p>
        </w:tc>
        <w:tc>
          <w:tcPr>
            <w:tcW w:w="1217"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交通运输</w:t>
            </w:r>
          </w:p>
        </w:tc>
        <w:tc>
          <w:tcPr>
            <w:tcW w:w="1442"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上杭县工业园</w:t>
            </w:r>
          </w:p>
        </w:tc>
      </w:tr>
      <w:tr>
        <w:trPr>
          <w:trHeight w:val="450" w:hRule="atLeast"/>
        </w:trPr>
        <w:tc>
          <w:tcPr>
            <w:tcW w:w="560" w:type="dxa"/>
            <w:tcBorders>
              <w:top w:val="nil"/>
              <w:left w:val="single" w:color="auto" w:sz="4" w:space="0"/>
              <w:bottom w:val="single" w:color="auto" w:sz="4" w:space="0"/>
              <w:right w:val="single" w:color="auto" w:sz="4" w:space="0"/>
            </w:tcBorders>
            <w:shd w:val="clear" w:color="000000" w:fill="D9D9D9"/>
            <w:vAlign w:val="center"/>
          </w:tcPr>
          <w:p>
            <w:pPr>
              <w:widowControl/>
              <w:jc w:val="center"/>
              <w:rPr>
                <w:rFonts w:ascii="宋体" w:cs="Times New Roman"/>
                <w:b/>
                <w:bCs/>
                <w:kern w:val="0"/>
                <w:sz w:val="18"/>
                <w:szCs w:val="18"/>
              </w:rPr>
            </w:pPr>
            <w:r>
              <w:rPr>
                <w:rFonts w:ascii="宋体" w:hAnsi="宋体" w:cs="宋体"/>
                <w:b/>
                <w:bCs/>
                <w:kern w:val="0"/>
                <w:sz w:val="18"/>
                <w:szCs w:val="18"/>
              </w:rPr>
              <w:t>90</w:t>
            </w:r>
          </w:p>
        </w:tc>
        <w:tc>
          <w:tcPr>
            <w:tcW w:w="25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新能源车辆电机专用特种电磁线</w:t>
            </w:r>
          </w:p>
        </w:tc>
        <w:tc>
          <w:tcPr>
            <w:tcW w:w="18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东营迪赛机电</w:t>
            </w:r>
          </w:p>
        </w:tc>
        <w:tc>
          <w:tcPr>
            <w:tcW w:w="3947"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年产</w:t>
            </w:r>
            <w:r>
              <w:rPr>
                <w:rFonts w:ascii="宋体" w:hAnsi="宋体" w:cs="宋体"/>
                <w:kern w:val="0"/>
                <w:sz w:val="18"/>
                <w:szCs w:val="18"/>
              </w:rPr>
              <w:t>5</w:t>
            </w:r>
            <w:r>
              <w:rPr>
                <w:rFonts w:hint="eastAsia" w:ascii="宋体" w:hAnsi="宋体" w:cs="宋体"/>
                <w:kern w:val="0"/>
                <w:sz w:val="18"/>
                <w:szCs w:val="18"/>
              </w:rPr>
              <w:t>万吨新能源车辆电机专用特种电磁线</w:t>
            </w:r>
          </w:p>
        </w:tc>
        <w:tc>
          <w:tcPr>
            <w:tcW w:w="1190"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25,000</w:t>
            </w:r>
          </w:p>
        </w:tc>
        <w:tc>
          <w:tcPr>
            <w:tcW w:w="1148"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80,000</w:t>
            </w:r>
          </w:p>
        </w:tc>
        <w:tc>
          <w:tcPr>
            <w:tcW w:w="1217"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交通运输</w:t>
            </w:r>
          </w:p>
        </w:tc>
        <w:tc>
          <w:tcPr>
            <w:tcW w:w="1442"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上杭县工业园</w:t>
            </w:r>
          </w:p>
        </w:tc>
      </w:tr>
      <w:tr>
        <w:trPr>
          <w:trHeight w:val="270" w:hRule="atLeast"/>
        </w:trPr>
        <w:tc>
          <w:tcPr>
            <w:tcW w:w="560" w:type="dxa"/>
            <w:tcBorders>
              <w:top w:val="nil"/>
              <w:left w:val="single" w:color="auto" w:sz="4" w:space="0"/>
              <w:bottom w:val="single" w:color="auto" w:sz="4" w:space="0"/>
              <w:right w:val="single" w:color="auto" w:sz="4" w:space="0"/>
            </w:tcBorders>
            <w:shd w:val="clear" w:color="000000" w:fill="D9D9D9"/>
            <w:vAlign w:val="center"/>
          </w:tcPr>
          <w:p>
            <w:pPr>
              <w:widowControl/>
              <w:jc w:val="center"/>
              <w:rPr>
                <w:rFonts w:ascii="宋体" w:cs="Times New Roman"/>
                <w:b/>
                <w:bCs/>
                <w:kern w:val="0"/>
                <w:sz w:val="18"/>
                <w:szCs w:val="18"/>
              </w:rPr>
            </w:pPr>
            <w:r>
              <w:rPr>
                <w:rFonts w:ascii="宋体" w:hAnsi="宋体" w:cs="宋体"/>
                <w:b/>
                <w:bCs/>
                <w:kern w:val="0"/>
                <w:sz w:val="18"/>
                <w:szCs w:val="18"/>
              </w:rPr>
              <w:t>91</w:t>
            </w:r>
          </w:p>
        </w:tc>
        <w:tc>
          <w:tcPr>
            <w:tcW w:w="25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永磁电机</w:t>
            </w:r>
          </w:p>
        </w:tc>
        <w:tc>
          <w:tcPr>
            <w:tcW w:w="1862" w:type="dxa"/>
            <w:tcBorders>
              <w:top w:val="nil"/>
              <w:left w:val="nil"/>
              <w:bottom w:val="single" w:color="auto" w:sz="4" w:space="0"/>
              <w:right w:val="single" w:color="auto" w:sz="4" w:space="0"/>
            </w:tcBorders>
            <w:shd w:val="clear" w:color="000000" w:fill="FFFFFF"/>
            <w:vAlign w:val="center"/>
          </w:tcPr>
          <w:p>
            <w:pPr>
              <w:widowControl/>
              <w:spacing w:line="260" w:lineRule="exact"/>
              <w:jc w:val="left"/>
              <w:rPr>
                <w:rFonts w:ascii="宋体" w:cs="Times New Roman"/>
                <w:kern w:val="0"/>
                <w:sz w:val="18"/>
                <w:szCs w:val="18"/>
              </w:rPr>
            </w:pPr>
            <w:r>
              <w:rPr>
                <w:rFonts w:hint="eastAsia" w:ascii="宋体" w:hAnsi="宋体" w:cs="宋体"/>
                <w:kern w:val="0"/>
                <w:sz w:val="18"/>
                <w:szCs w:val="18"/>
              </w:rPr>
              <w:t>山东华力电机集团股份</w:t>
            </w:r>
          </w:p>
        </w:tc>
        <w:tc>
          <w:tcPr>
            <w:tcW w:w="3947"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年产</w:t>
            </w:r>
            <w:r>
              <w:rPr>
                <w:rFonts w:ascii="宋体" w:hAnsi="宋体" w:cs="宋体"/>
                <w:kern w:val="0"/>
                <w:sz w:val="18"/>
                <w:szCs w:val="18"/>
              </w:rPr>
              <w:t>20</w:t>
            </w:r>
            <w:r>
              <w:rPr>
                <w:rFonts w:hint="eastAsia" w:ascii="宋体" w:hAnsi="宋体" w:cs="宋体"/>
                <w:kern w:val="0"/>
                <w:sz w:val="18"/>
                <w:szCs w:val="18"/>
              </w:rPr>
              <w:t>万台永磁电机</w:t>
            </w:r>
          </w:p>
        </w:tc>
        <w:tc>
          <w:tcPr>
            <w:tcW w:w="1190"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50,000</w:t>
            </w:r>
          </w:p>
        </w:tc>
        <w:tc>
          <w:tcPr>
            <w:tcW w:w="1148"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180,000</w:t>
            </w:r>
          </w:p>
        </w:tc>
        <w:tc>
          <w:tcPr>
            <w:tcW w:w="1217"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交通运输</w:t>
            </w:r>
          </w:p>
        </w:tc>
        <w:tc>
          <w:tcPr>
            <w:tcW w:w="1442"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上杭县工业园</w:t>
            </w:r>
          </w:p>
        </w:tc>
      </w:tr>
      <w:tr>
        <w:trPr>
          <w:trHeight w:val="270" w:hRule="atLeast"/>
        </w:trPr>
        <w:tc>
          <w:tcPr>
            <w:tcW w:w="560" w:type="dxa"/>
            <w:tcBorders>
              <w:top w:val="nil"/>
              <w:left w:val="single" w:color="auto" w:sz="4" w:space="0"/>
              <w:bottom w:val="single" w:color="auto" w:sz="4" w:space="0"/>
              <w:right w:val="single" w:color="auto" w:sz="4" w:space="0"/>
            </w:tcBorders>
            <w:shd w:val="clear" w:color="000000" w:fill="D9D9D9"/>
            <w:vAlign w:val="center"/>
          </w:tcPr>
          <w:p>
            <w:pPr>
              <w:widowControl/>
              <w:jc w:val="center"/>
              <w:rPr>
                <w:rFonts w:ascii="宋体" w:cs="Times New Roman"/>
                <w:b/>
                <w:bCs/>
                <w:kern w:val="0"/>
                <w:sz w:val="18"/>
                <w:szCs w:val="18"/>
              </w:rPr>
            </w:pPr>
            <w:r>
              <w:rPr>
                <w:rFonts w:ascii="宋体" w:hAnsi="宋体" w:cs="宋体"/>
                <w:b/>
                <w:bCs/>
                <w:kern w:val="0"/>
                <w:sz w:val="18"/>
                <w:szCs w:val="18"/>
              </w:rPr>
              <w:t>92</w:t>
            </w:r>
          </w:p>
        </w:tc>
        <w:tc>
          <w:tcPr>
            <w:tcW w:w="25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牵引供电系统配件</w:t>
            </w:r>
          </w:p>
        </w:tc>
        <w:tc>
          <w:tcPr>
            <w:tcW w:w="18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常州太平洋电力</w:t>
            </w:r>
          </w:p>
        </w:tc>
        <w:tc>
          <w:tcPr>
            <w:tcW w:w="3947"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年产</w:t>
            </w:r>
            <w:r>
              <w:rPr>
                <w:rFonts w:ascii="宋体" w:hAnsi="宋体" w:cs="宋体"/>
                <w:kern w:val="0"/>
                <w:sz w:val="18"/>
                <w:szCs w:val="18"/>
              </w:rPr>
              <w:t>10</w:t>
            </w:r>
            <w:r>
              <w:rPr>
                <w:rFonts w:hint="eastAsia" w:ascii="宋体" w:hAnsi="宋体" w:cs="宋体"/>
                <w:kern w:val="0"/>
                <w:sz w:val="18"/>
                <w:szCs w:val="18"/>
              </w:rPr>
              <w:t>万套牵引供电系统配件</w:t>
            </w:r>
          </w:p>
        </w:tc>
        <w:tc>
          <w:tcPr>
            <w:tcW w:w="1190"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20,000</w:t>
            </w:r>
          </w:p>
        </w:tc>
        <w:tc>
          <w:tcPr>
            <w:tcW w:w="1148"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35,000</w:t>
            </w:r>
          </w:p>
        </w:tc>
        <w:tc>
          <w:tcPr>
            <w:tcW w:w="1217"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交通运输</w:t>
            </w:r>
          </w:p>
        </w:tc>
        <w:tc>
          <w:tcPr>
            <w:tcW w:w="1442"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上杭县工业园</w:t>
            </w:r>
          </w:p>
        </w:tc>
      </w:tr>
      <w:tr>
        <w:trPr>
          <w:trHeight w:val="270" w:hRule="atLeast"/>
        </w:trPr>
        <w:tc>
          <w:tcPr>
            <w:tcW w:w="560" w:type="dxa"/>
            <w:tcBorders>
              <w:top w:val="nil"/>
              <w:left w:val="single" w:color="auto" w:sz="4" w:space="0"/>
              <w:bottom w:val="single" w:color="auto" w:sz="4" w:space="0"/>
              <w:right w:val="single" w:color="auto" w:sz="4" w:space="0"/>
            </w:tcBorders>
            <w:shd w:val="clear" w:color="000000" w:fill="D9D9D9"/>
            <w:vAlign w:val="center"/>
          </w:tcPr>
          <w:p>
            <w:pPr>
              <w:widowControl/>
              <w:jc w:val="center"/>
              <w:rPr>
                <w:rFonts w:ascii="宋体" w:cs="Times New Roman"/>
                <w:b/>
                <w:bCs/>
                <w:kern w:val="0"/>
                <w:sz w:val="18"/>
                <w:szCs w:val="18"/>
              </w:rPr>
            </w:pPr>
            <w:r>
              <w:rPr>
                <w:rFonts w:ascii="宋体" w:hAnsi="宋体" w:cs="宋体"/>
                <w:b/>
                <w:bCs/>
                <w:kern w:val="0"/>
                <w:sz w:val="18"/>
                <w:szCs w:val="18"/>
              </w:rPr>
              <w:t>93</w:t>
            </w:r>
          </w:p>
        </w:tc>
        <w:tc>
          <w:tcPr>
            <w:tcW w:w="25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开关磁阻电机配件</w:t>
            </w:r>
          </w:p>
        </w:tc>
        <w:tc>
          <w:tcPr>
            <w:tcW w:w="18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西电集团、特变电工</w:t>
            </w:r>
          </w:p>
        </w:tc>
        <w:tc>
          <w:tcPr>
            <w:tcW w:w="3947"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年产</w:t>
            </w:r>
            <w:r>
              <w:rPr>
                <w:rFonts w:ascii="宋体" w:hAnsi="宋体" w:cs="宋体"/>
                <w:kern w:val="0"/>
                <w:sz w:val="18"/>
                <w:szCs w:val="18"/>
              </w:rPr>
              <w:t>15</w:t>
            </w:r>
            <w:r>
              <w:rPr>
                <w:rFonts w:hint="eastAsia" w:ascii="宋体" w:hAnsi="宋体" w:cs="宋体"/>
                <w:kern w:val="0"/>
                <w:sz w:val="18"/>
                <w:szCs w:val="18"/>
              </w:rPr>
              <w:t>万套开关磁阻电机配件</w:t>
            </w:r>
          </w:p>
        </w:tc>
        <w:tc>
          <w:tcPr>
            <w:tcW w:w="1190"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25,000</w:t>
            </w:r>
          </w:p>
        </w:tc>
        <w:tc>
          <w:tcPr>
            <w:tcW w:w="1148"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30,000</w:t>
            </w:r>
          </w:p>
        </w:tc>
        <w:tc>
          <w:tcPr>
            <w:tcW w:w="1217"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交通运输</w:t>
            </w:r>
          </w:p>
        </w:tc>
        <w:tc>
          <w:tcPr>
            <w:tcW w:w="1442"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上杭县工业园</w:t>
            </w:r>
          </w:p>
        </w:tc>
      </w:tr>
      <w:tr>
        <w:trPr>
          <w:trHeight w:val="450" w:hRule="atLeast"/>
        </w:trPr>
        <w:tc>
          <w:tcPr>
            <w:tcW w:w="560" w:type="dxa"/>
            <w:tcBorders>
              <w:top w:val="nil"/>
              <w:left w:val="single" w:color="auto" w:sz="4" w:space="0"/>
              <w:bottom w:val="single" w:color="auto" w:sz="4" w:space="0"/>
              <w:right w:val="single" w:color="auto" w:sz="4" w:space="0"/>
            </w:tcBorders>
            <w:shd w:val="clear" w:color="000000" w:fill="D9D9D9"/>
            <w:vAlign w:val="center"/>
          </w:tcPr>
          <w:p>
            <w:pPr>
              <w:widowControl/>
              <w:jc w:val="center"/>
              <w:rPr>
                <w:rFonts w:ascii="宋体" w:cs="Times New Roman"/>
                <w:b/>
                <w:bCs/>
                <w:kern w:val="0"/>
                <w:sz w:val="18"/>
                <w:szCs w:val="18"/>
              </w:rPr>
            </w:pPr>
            <w:r>
              <w:rPr>
                <w:rFonts w:ascii="宋体" w:hAnsi="宋体" w:cs="宋体"/>
                <w:b/>
                <w:bCs/>
                <w:kern w:val="0"/>
                <w:sz w:val="18"/>
                <w:szCs w:val="18"/>
              </w:rPr>
              <w:t>94</w:t>
            </w:r>
          </w:p>
        </w:tc>
        <w:tc>
          <w:tcPr>
            <w:tcW w:w="2562" w:type="dxa"/>
            <w:tcBorders>
              <w:top w:val="nil"/>
              <w:left w:val="nil"/>
              <w:bottom w:val="single" w:color="auto" w:sz="4" w:space="0"/>
              <w:right w:val="single" w:color="auto" w:sz="4" w:space="0"/>
            </w:tcBorders>
            <w:shd w:val="clear" w:color="000000" w:fill="FFFFFF"/>
            <w:vAlign w:val="center"/>
          </w:tcPr>
          <w:p>
            <w:pPr>
              <w:widowControl/>
              <w:spacing w:line="260" w:lineRule="exact"/>
              <w:jc w:val="left"/>
              <w:rPr>
                <w:rFonts w:ascii="宋体" w:cs="Times New Roman"/>
                <w:kern w:val="0"/>
                <w:sz w:val="18"/>
                <w:szCs w:val="18"/>
              </w:rPr>
            </w:pPr>
            <w:r>
              <w:rPr>
                <w:rFonts w:hint="eastAsia" w:ascii="宋体" w:hAnsi="宋体" w:cs="宋体"/>
                <w:kern w:val="0"/>
                <w:sz w:val="18"/>
                <w:szCs w:val="18"/>
              </w:rPr>
              <w:t>电动汽车充电桩及其零部件制造</w:t>
            </w:r>
          </w:p>
        </w:tc>
        <w:tc>
          <w:tcPr>
            <w:tcW w:w="1862" w:type="dxa"/>
            <w:tcBorders>
              <w:top w:val="nil"/>
              <w:left w:val="nil"/>
              <w:bottom w:val="single" w:color="auto" w:sz="4" w:space="0"/>
              <w:right w:val="single" w:color="auto" w:sz="4" w:space="0"/>
            </w:tcBorders>
            <w:shd w:val="clear" w:color="000000" w:fill="FFFFFF"/>
            <w:vAlign w:val="center"/>
          </w:tcPr>
          <w:p>
            <w:pPr>
              <w:widowControl/>
              <w:spacing w:line="260" w:lineRule="exact"/>
              <w:jc w:val="left"/>
              <w:rPr>
                <w:rFonts w:ascii="宋体" w:cs="Times New Roman"/>
                <w:kern w:val="0"/>
                <w:sz w:val="18"/>
                <w:szCs w:val="18"/>
              </w:rPr>
            </w:pPr>
            <w:r>
              <w:rPr>
                <w:rFonts w:hint="eastAsia" w:ascii="宋体" w:hAnsi="宋体" w:cs="宋体"/>
                <w:kern w:val="0"/>
                <w:sz w:val="18"/>
                <w:szCs w:val="18"/>
              </w:rPr>
              <w:t>千航（北京）科技有限公司</w:t>
            </w:r>
          </w:p>
        </w:tc>
        <w:tc>
          <w:tcPr>
            <w:tcW w:w="3947"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年产</w:t>
            </w:r>
            <w:r>
              <w:rPr>
                <w:rFonts w:ascii="宋体" w:hAnsi="宋体" w:cs="宋体"/>
                <w:kern w:val="0"/>
                <w:sz w:val="18"/>
                <w:szCs w:val="18"/>
              </w:rPr>
              <w:t>20</w:t>
            </w:r>
            <w:r>
              <w:rPr>
                <w:rFonts w:hint="eastAsia" w:ascii="宋体" w:hAnsi="宋体" w:cs="宋体"/>
                <w:kern w:val="0"/>
                <w:sz w:val="18"/>
                <w:szCs w:val="18"/>
              </w:rPr>
              <w:t>万套电动汽车充电桩及其零部件</w:t>
            </w:r>
          </w:p>
        </w:tc>
        <w:tc>
          <w:tcPr>
            <w:tcW w:w="1190"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120,000</w:t>
            </w:r>
          </w:p>
        </w:tc>
        <w:tc>
          <w:tcPr>
            <w:tcW w:w="1148"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200,000</w:t>
            </w:r>
          </w:p>
        </w:tc>
        <w:tc>
          <w:tcPr>
            <w:tcW w:w="1217"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交通运输</w:t>
            </w:r>
          </w:p>
        </w:tc>
        <w:tc>
          <w:tcPr>
            <w:tcW w:w="1442"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上杭县工业园</w:t>
            </w:r>
          </w:p>
        </w:tc>
      </w:tr>
      <w:tr>
        <w:trPr>
          <w:trHeight w:val="270" w:hRule="atLeast"/>
        </w:trPr>
        <w:tc>
          <w:tcPr>
            <w:tcW w:w="560" w:type="dxa"/>
            <w:tcBorders>
              <w:top w:val="nil"/>
              <w:left w:val="single" w:color="auto" w:sz="4" w:space="0"/>
              <w:bottom w:val="single" w:color="auto" w:sz="4" w:space="0"/>
              <w:right w:val="single" w:color="auto" w:sz="4" w:space="0"/>
            </w:tcBorders>
            <w:shd w:val="clear" w:color="000000" w:fill="D9D9D9"/>
            <w:vAlign w:val="center"/>
          </w:tcPr>
          <w:p>
            <w:pPr>
              <w:widowControl/>
              <w:jc w:val="center"/>
              <w:rPr>
                <w:rFonts w:ascii="宋体" w:cs="Times New Roman"/>
                <w:b/>
                <w:bCs/>
                <w:kern w:val="0"/>
                <w:sz w:val="18"/>
                <w:szCs w:val="18"/>
              </w:rPr>
            </w:pPr>
            <w:r>
              <w:rPr>
                <w:rFonts w:ascii="宋体" w:hAnsi="宋体" w:cs="宋体"/>
                <w:b/>
                <w:bCs/>
                <w:kern w:val="0"/>
                <w:sz w:val="18"/>
                <w:szCs w:val="18"/>
              </w:rPr>
              <w:t>95</w:t>
            </w:r>
          </w:p>
        </w:tc>
        <w:tc>
          <w:tcPr>
            <w:tcW w:w="25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舰船用铜管道项目</w:t>
            </w:r>
          </w:p>
        </w:tc>
        <w:tc>
          <w:tcPr>
            <w:tcW w:w="18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中铝洛铜、中船重工</w:t>
            </w:r>
          </w:p>
        </w:tc>
        <w:tc>
          <w:tcPr>
            <w:tcW w:w="3947"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年产</w:t>
            </w:r>
            <w:r>
              <w:rPr>
                <w:rFonts w:ascii="宋体" w:hAnsi="宋体" w:cs="宋体"/>
                <w:kern w:val="0"/>
                <w:sz w:val="18"/>
                <w:szCs w:val="18"/>
              </w:rPr>
              <w:t>3</w:t>
            </w:r>
            <w:r>
              <w:rPr>
                <w:rFonts w:hint="eastAsia" w:ascii="宋体" w:hAnsi="宋体" w:cs="宋体"/>
                <w:kern w:val="0"/>
                <w:sz w:val="18"/>
                <w:szCs w:val="18"/>
              </w:rPr>
              <w:t>万吨白铜、</w:t>
            </w:r>
            <w:r>
              <w:rPr>
                <w:rFonts w:ascii="宋体" w:hAnsi="宋体" w:cs="宋体"/>
                <w:kern w:val="0"/>
                <w:sz w:val="18"/>
                <w:szCs w:val="18"/>
              </w:rPr>
              <w:t>2</w:t>
            </w:r>
            <w:r>
              <w:rPr>
                <w:rFonts w:hint="eastAsia" w:ascii="宋体" w:hAnsi="宋体" w:cs="宋体"/>
                <w:kern w:val="0"/>
                <w:sz w:val="18"/>
                <w:szCs w:val="18"/>
              </w:rPr>
              <w:t>万吨黄铜冷凝管项目</w:t>
            </w:r>
          </w:p>
        </w:tc>
        <w:tc>
          <w:tcPr>
            <w:tcW w:w="1190"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30,000</w:t>
            </w:r>
          </w:p>
        </w:tc>
        <w:tc>
          <w:tcPr>
            <w:tcW w:w="1148"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370,000</w:t>
            </w:r>
          </w:p>
        </w:tc>
        <w:tc>
          <w:tcPr>
            <w:tcW w:w="1217"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交通运输</w:t>
            </w:r>
          </w:p>
        </w:tc>
        <w:tc>
          <w:tcPr>
            <w:tcW w:w="1442"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上杭县工业园</w:t>
            </w:r>
          </w:p>
        </w:tc>
      </w:tr>
      <w:tr>
        <w:trPr>
          <w:trHeight w:val="450" w:hRule="atLeast"/>
        </w:trPr>
        <w:tc>
          <w:tcPr>
            <w:tcW w:w="560" w:type="dxa"/>
            <w:tcBorders>
              <w:top w:val="nil"/>
              <w:left w:val="single" w:color="auto" w:sz="4" w:space="0"/>
              <w:bottom w:val="single" w:color="auto" w:sz="4" w:space="0"/>
              <w:right w:val="single" w:color="auto" w:sz="4" w:space="0"/>
            </w:tcBorders>
            <w:shd w:val="clear" w:color="000000" w:fill="D9D9D9"/>
            <w:vAlign w:val="center"/>
          </w:tcPr>
          <w:p>
            <w:pPr>
              <w:widowControl/>
              <w:jc w:val="center"/>
              <w:rPr>
                <w:rFonts w:ascii="宋体" w:cs="Times New Roman"/>
                <w:b/>
                <w:bCs/>
                <w:kern w:val="0"/>
                <w:sz w:val="18"/>
                <w:szCs w:val="18"/>
              </w:rPr>
            </w:pPr>
            <w:r>
              <w:rPr>
                <w:rFonts w:ascii="宋体" w:hAnsi="宋体" w:cs="宋体"/>
                <w:b/>
                <w:bCs/>
                <w:kern w:val="0"/>
                <w:sz w:val="18"/>
                <w:szCs w:val="18"/>
              </w:rPr>
              <w:t>96</w:t>
            </w:r>
          </w:p>
        </w:tc>
        <w:tc>
          <w:tcPr>
            <w:tcW w:w="25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铜质卫浴制品生产项目</w:t>
            </w:r>
          </w:p>
        </w:tc>
        <w:tc>
          <w:tcPr>
            <w:tcW w:w="18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招商引资</w:t>
            </w:r>
          </w:p>
        </w:tc>
        <w:tc>
          <w:tcPr>
            <w:tcW w:w="3947"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年产</w:t>
            </w:r>
            <w:r>
              <w:rPr>
                <w:rFonts w:ascii="宋体" w:hAnsi="宋体" w:cs="宋体"/>
                <w:kern w:val="0"/>
                <w:sz w:val="18"/>
                <w:szCs w:val="18"/>
              </w:rPr>
              <w:t>200</w:t>
            </w:r>
            <w:r>
              <w:rPr>
                <w:rFonts w:hint="eastAsia" w:ascii="宋体" w:hAnsi="宋体" w:cs="宋体"/>
                <w:kern w:val="0"/>
                <w:sz w:val="18"/>
                <w:szCs w:val="18"/>
              </w:rPr>
              <w:t>万套铜质卫浴制品项目。</w:t>
            </w:r>
          </w:p>
        </w:tc>
        <w:tc>
          <w:tcPr>
            <w:tcW w:w="1190"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50,000</w:t>
            </w:r>
          </w:p>
        </w:tc>
        <w:tc>
          <w:tcPr>
            <w:tcW w:w="1148"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50,000</w:t>
            </w:r>
          </w:p>
        </w:tc>
        <w:tc>
          <w:tcPr>
            <w:tcW w:w="1217"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家电卫浴</w:t>
            </w:r>
          </w:p>
        </w:tc>
        <w:tc>
          <w:tcPr>
            <w:tcW w:w="1442"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上杭县工业园</w:t>
            </w:r>
          </w:p>
        </w:tc>
      </w:tr>
      <w:tr>
        <w:trPr>
          <w:trHeight w:val="450" w:hRule="atLeast"/>
        </w:trPr>
        <w:tc>
          <w:tcPr>
            <w:tcW w:w="560" w:type="dxa"/>
            <w:tcBorders>
              <w:top w:val="nil"/>
              <w:left w:val="single" w:color="auto" w:sz="4" w:space="0"/>
              <w:bottom w:val="single" w:color="auto" w:sz="4" w:space="0"/>
              <w:right w:val="single" w:color="auto" w:sz="4" w:space="0"/>
            </w:tcBorders>
            <w:shd w:val="clear" w:color="000000" w:fill="D9D9D9"/>
            <w:vAlign w:val="center"/>
          </w:tcPr>
          <w:p>
            <w:pPr>
              <w:widowControl/>
              <w:jc w:val="center"/>
              <w:rPr>
                <w:rFonts w:ascii="宋体" w:cs="Times New Roman"/>
                <w:b/>
                <w:bCs/>
                <w:kern w:val="0"/>
                <w:sz w:val="18"/>
                <w:szCs w:val="18"/>
              </w:rPr>
            </w:pPr>
            <w:r>
              <w:rPr>
                <w:rFonts w:ascii="宋体" w:hAnsi="宋体" w:cs="宋体"/>
                <w:b/>
                <w:bCs/>
                <w:kern w:val="0"/>
                <w:sz w:val="18"/>
                <w:szCs w:val="18"/>
              </w:rPr>
              <w:t>97</w:t>
            </w:r>
          </w:p>
        </w:tc>
        <w:tc>
          <w:tcPr>
            <w:tcW w:w="25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铜配管生产项目</w:t>
            </w:r>
          </w:p>
        </w:tc>
        <w:tc>
          <w:tcPr>
            <w:tcW w:w="18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招商引资</w:t>
            </w:r>
          </w:p>
        </w:tc>
        <w:tc>
          <w:tcPr>
            <w:tcW w:w="3947"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租赁福建紫金铜业有限公司厂房</w:t>
            </w:r>
            <w:r>
              <w:rPr>
                <w:rFonts w:ascii="宋体" w:hAnsi="宋体" w:cs="宋体"/>
                <w:kern w:val="0"/>
                <w:sz w:val="18"/>
                <w:szCs w:val="18"/>
              </w:rPr>
              <w:t>1200</w:t>
            </w:r>
            <w:r>
              <w:rPr>
                <w:rFonts w:hint="eastAsia" w:ascii="宋体" w:hAnsi="宋体" w:cs="宋体"/>
                <w:kern w:val="0"/>
                <w:sz w:val="18"/>
                <w:szCs w:val="18"/>
              </w:rPr>
              <w:t>平方米，生产铜配管产品</w:t>
            </w:r>
          </w:p>
        </w:tc>
        <w:tc>
          <w:tcPr>
            <w:tcW w:w="1190"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2,000</w:t>
            </w:r>
          </w:p>
        </w:tc>
        <w:tc>
          <w:tcPr>
            <w:tcW w:w="1148"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2,000</w:t>
            </w:r>
          </w:p>
        </w:tc>
        <w:tc>
          <w:tcPr>
            <w:tcW w:w="1217"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家电卫浴</w:t>
            </w:r>
          </w:p>
        </w:tc>
        <w:tc>
          <w:tcPr>
            <w:tcW w:w="1442"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上杭县工业园</w:t>
            </w:r>
          </w:p>
        </w:tc>
      </w:tr>
      <w:tr>
        <w:trPr>
          <w:trHeight w:val="270" w:hRule="atLeast"/>
        </w:trPr>
        <w:tc>
          <w:tcPr>
            <w:tcW w:w="560" w:type="dxa"/>
            <w:tcBorders>
              <w:top w:val="nil"/>
              <w:left w:val="single" w:color="auto" w:sz="4" w:space="0"/>
              <w:bottom w:val="single" w:color="auto" w:sz="4" w:space="0"/>
              <w:right w:val="single" w:color="auto" w:sz="4" w:space="0"/>
            </w:tcBorders>
            <w:shd w:val="clear" w:color="000000" w:fill="D9D9D9"/>
            <w:vAlign w:val="center"/>
          </w:tcPr>
          <w:p>
            <w:pPr>
              <w:widowControl/>
              <w:jc w:val="center"/>
              <w:rPr>
                <w:rFonts w:ascii="宋体" w:cs="Times New Roman"/>
                <w:b/>
                <w:bCs/>
                <w:kern w:val="0"/>
                <w:sz w:val="18"/>
                <w:szCs w:val="18"/>
              </w:rPr>
            </w:pPr>
            <w:r>
              <w:rPr>
                <w:rFonts w:ascii="宋体" w:hAnsi="宋体" w:cs="宋体"/>
                <w:b/>
                <w:bCs/>
                <w:kern w:val="0"/>
                <w:sz w:val="18"/>
                <w:szCs w:val="18"/>
              </w:rPr>
              <w:t>98</w:t>
            </w:r>
          </w:p>
        </w:tc>
        <w:tc>
          <w:tcPr>
            <w:tcW w:w="25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铜及铜合金管件项目</w:t>
            </w:r>
          </w:p>
        </w:tc>
        <w:tc>
          <w:tcPr>
            <w:tcW w:w="1862" w:type="dxa"/>
            <w:tcBorders>
              <w:top w:val="nil"/>
              <w:left w:val="nil"/>
              <w:bottom w:val="single" w:color="auto" w:sz="4" w:space="0"/>
              <w:right w:val="single" w:color="auto" w:sz="4" w:space="0"/>
            </w:tcBorders>
            <w:shd w:val="clear" w:color="000000" w:fill="FFFFFF"/>
            <w:vAlign w:val="center"/>
          </w:tcPr>
          <w:p>
            <w:pPr>
              <w:widowControl/>
              <w:spacing w:line="260" w:lineRule="exact"/>
              <w:jc w:val="left"/>
              <w:rPr>
                <w:rFonts w:ascii="宋体" w:cs="Times New Roman"/>
                <w:kern w:val="0"/>
                <w:sz w:val="18"/>
                <w:szCs w:val="18"/>
              </w:rPr>
            </w:pPr>
            <w:r>
              <w:rPr>
                <w:rFonts w:hint="eastAsia" w:ascii="宋体" w:hAnsi="宋体" w:cs="宋体"/>
                <w:kern w:val="0"/>
                <w:sz w:val="18"/>
                <w:szCs w:val="18"/>
              </w:rPr>
              <w:t>福建紫金铜业有限公司</w:t>
            </w:r>
          </w:p>
        </w:tc>
        <w:tc>
          <w:tcPr>
            <w:tcW w:w="3947"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年产</w:t>
            </w:r>
            <w:r>
              <w:rPr>
                <w:rFonts w:ascii="宋体" w:hAnsi="宋体" w:cs="宋体"/>
                <w:kern w:val="0"/>
                <w:sz w:val="18"/>
                <w:szCs w:val="18"/>
              </w:rPr>
              <w:t>3</w:t>
            </w:r>
            <w:r>
              <w:rPr>
                <w:rFonts w:hint="eastAsia" w:ascii="宋体" w:hAnsi="宋体" w:cs="宋体"/>
                <w:kern w:val="0"/>
                <w:sz w:val="18"/>
                <w:szCs w:val="18"/>
              </w:rPr>
              <w:t>万吨铜及铜合金管件项目</w:t>
            </w:r>
          </w:p>
        </w:tc>
        <w:tc>
          <w:tcPr>
            <w:tcW w:w="1190"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15,000</w:t>
            </w:r>
          </w:p>
        </w:tc>
        <w:tc>
          <w:tcPr>
            <w:tcW w:w="1148"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162,000</w:t>
            </w:r>
          </w:p>
        </w:tc>
        <w:tc>
          <w:tcPr>
            <w:tcW w:w="1217"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家电卫浴</w:t>
            </w:r>
          </w:p>
        </w:tc>
        <w:tc>
          <w:tcPr>
            <w:tcW w:w="1442"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上杭县工业园</w:t>
            </w:r>
          </w:p>
        </w:tc>
      </w:tr>
      <w:tr>
        <w:trPr>
          <w:trHeight w:val="450" w:hRule="atLeast"/>
        </w:trPr>
        <w:tc>
          <w:tcPr>
            <w:tcW w:w="560" w:type="dxa"/>
            <w:tcBorders>
              <w:top w:val="nil"/>
              <w:left w:val="single" w:color="auto" w:sz="4" w:space="0"/>
              <w:bottom w:val="single" w:color="auto" w:sz="4" w:space="0"/>
              <w:right w:val="single" w:color="auto" w:sz="4" w:space="0"/>
            </w:tcBorders>
            <w:shd w:val="clear" w:color="000000" w:fill="D9D9D9"/>
            <w:vAlign w:val="center"/>
          </w:tcPr>
          <w:p>
            <w:pPr>
              <w:widowControl/>
              <w:jc w:val="center"/>
              <w:rPr>
                <w:rFonts w:ascii="宋体" w:cs="Times New Roman"/>
                <w:b/>
                <w:bCs/>
                <w:kern w:val="0"/>
                <w:sz w:val="18"/>
                <w:szCs w:val="18"/>
              </w:rPr>
            </w:pPr>
            <w:r>
              <w:rPr>
                <w:rFonts w:ascii="宋体" w:hAnsi="宋体" w:cs="宋体"/>
                <w:b/>
                <w:bCs/>
                <w:kern w:val="0"/>
                <w:sz w:val="18"/>
                <w:szCs w:val="18"/>
              </w:rPr>
              <w:t>99</w:t>
            </w:r>
          </w:p>
        </w:tc>
        <w:tc>
          <w:tcPr>
            <w:tcW w:w="25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高效制冷用铜套管项目</w:t>
            </w:r>
          </w:p>
        </w:tc>
        <w:tc>
          <w:tcPr>
            <w:tcW w:w="18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广东恒基金属、盾安股份</w:t>
            </w:r>
          </w:p>
        </w:tc>
        <w:tc>
          <w:tcPr>
            <w:tcW w:w="3947"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年产</w:t>
            </w:r>
            <w:r>
              <w:rPr>
                <w:rFonts w:ascii="宋体" w:hAnsi="宋体" w:cs="宋体"/>
                <w:kern w:val="0"/>
                <w:sz w:val="18"/>
                <w:szCs w:val="18"/>
              </w:rPr>
              <w:t>20</w:t>
            </w:r>
            <w:r>
              <w:rPr>
                <w:rFonts w:hint="eastAsia" w:ascii="宋体" w:hAnsi="宋体" w:cs="宋体"/>
                <w:kern w:val="0"/>
                <w:sz w:val="18"/>
                <w:szCs w:val="18"/>
              </w:rPr>
              <w:t>万套高效制冷用铜套管生产线项目</w:t>
            </w:r>
          </w:p>
        </w:tc>
        <w:tc>
          <w:tcPr>
            <w:tcW w:w="1190"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6,000</w:t>
            </w:r>
          </w:p>
        </w:tc>
        <w:tc>
          <w:tcPr>
            <w:tcW w:w="1148"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30,000</w:t>
            </w:r>
          </w:p>
        </w:tc>
        <w:tc>
          <w:tcPr>
            <w:tcW w:w="1217"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家电卫浴</w:t>
            </w:r>
          </w:p>
        </w:tc>
        <w:tc>
          <w:tcPr>
            <w:tcW w:w="1442"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上杭县工业园</w:t>
            </w:r>
          </w:p>
        </w:tc>
      </w:tr>
      <w:tr>
        <w:trPr>
          <w:trHeight w:val="450" w:hRule="atLeast"/>
        </w:trPr>
        <w:tc>
          <w:tcPr>
            <w:tcW w:w="560" w:type="dxa"/>
            <w:tcBorders>
              <w:top w:val="nil"/>
              <w:left w:val="single" w:color="auto" w:sz="4" w:space="0"/>
              <w:bottom w:val="single" w:color="auto" w:sz="4" w:space="0"/>
              <w:right w:val="single" w:color="auto" w:sz="4" w:space="0"/>
            </w:tcBorders>
            <w:shd w:val="clear" w:color="000000" w:fill="D9D9D9"/>
            <w:vAlign w:val="center"/>
          </w:tcPr>
          <w:p>
            <w:pPr>
              <w:widowControl/>
              <w:jc w:val="center"/>
              <w:rPr>
                <w:rFonts w:ascii="宋体" w:cs="Times New Roman"/>
                <w:b/>
                <w:bCs/>
                <w:kern w:val="0"/>
                <w:sz w:val="18"/>
                <w:szCs w:val="18"/>
              </w:rPr>
            </w:pPr>
            <w:r>
              <w:rPr>
                <w:rFonts w:ascii="宋体" w:hAnsi="宋体" w:cs="宋体"/>
                <w:b/>
                <w:bCs/>
                <w:kern w:val="0"/>
                <w:sz w:val="18"/>
                <w:szCs w:val="18"/>
              </w:rPr>
              <w:t>100</w:t>
            </w:r>
          </w:p>
        </w:tc>
        <w:tc>
          <w:tcPr>
            <w:tcW w:w="25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建筑用铜水道管件</w:t>
            </w:r>
          </w:p>
        </w:tc>
        <w:tc>
          <w:tcPr>
            <w:tcW w:w="1862" w:type="dxa"/>
            <w:tcBorders>
              <w:top w:val="nil"/>
              <w:left w:val="nil"/>
              <w:bottom w:val="single" w:color="auto" w:sz="4" w:space="0"/>
              <w:right w:val="single" w:color="auto" w:sz="4" w:space="0"/>
            </w:tcBorders>
            <w:shd w:val="clear" w:color="000000" w:fill="FFFFFF"/>
            <w:vAlign w:val="center"/>
          </w:tcPr>
          <w:p>
            <w:pPr>
              <w:widowControl/>
              <w:spacing w:line="260" w:lineRule="exact"/>
              <w:jc w:val="left"/>
              <w:rPr>
                <w:rFonts w:ascii="宋体" w:cs="Times New Roman"/>
                <w:kern w:val="0"/>
                <w:sz w:val="18"/>
                <w:szCs w:val="18"/>
              </w:rPr>
            </w:pPr>
            <w:r>
              <w:rPr>
                <w:rFonts w:hint="eastAsia" w:ascii="宋体" w:hAnsi="宋体" w:cs="宋体"/>
                <w:kern w:val="0"/>
                <w:sz w:val="18"/>
                <w:szCs w:val="18"/>
              </w:rPr>
              <w:t>福建紫金铜业有限公司</w:t>
            </w:r>
          </w:p>
        </w:tc>
        <w:tc>
          <w:tcPr>
            <w:tcW w:w="3947"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年产</w:t>
            </w:r>
            <w:r>
              <w:rPr>
                <w:rFonts w:ascii="宋体" w:hAnsi="宋体" w:cs="宋体"/>
                <w:kern w:val="0"/>
                <w:sz w:val="18"/>
                <w:szCs w:val="18"/>
              </w:rPr>
              <w:t>5</w:t>
            </w:r>
            <w:r>
              <w:rPr>
                <w:rFonts w:hint="eastAsia" w:ascii="宋体" w:hAnsi="宋体" w:cs="宋体"/>
                <w:kern w:val="0"/>
                <w:sz w:val="18"/>
                <w:szCs w:val="18"/>
              </w:rPr>
              <w:t>万套（件）建筑用铜水道管件生产项目</w:t>
            </w:r>
          </w:p>
        </w:tc>
        <w:tc>
          <w:tcPr>
            <w:tcW w:w="1190"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3,000</w:t>
            </w:r>
          </w:p>
        </w:tc>
        <w:tc>
          <w:tcPr>
            <w:tcW w:w="1148"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15,000</w:t>
            </w:r>
          </w:p>
        </w:tc>
        <w:tc>
          <w:tcPr>
            <w:tcW w:w="1217"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家电卫浴</w:t>
            </w:r>
          </w:p>
        </w:tc>
        <w:tc>
          <w:tcPr>
            <w:tcW w:w="1442"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上杭县工业园</w:t>
            </w:r>
          </w:p>
        </w:tc>
      </w:tr>
      <w:tr>
        <w:trPr>
          <w:trHeight w:val="270" w:hRule="atLeast"/>
        </w:trPr>
        <w:tc>
          <w:tcPr>
            <w:tcW w:w="560" w:type="dxa"/>
            <w:tcBorders>
              <w:top w:val="nil"/>
              <w:left w:val="single" w:color="auto" w:sz="4" w:space="0"/>
              <w:bottom w:val="single" w:color="auto" w:sz="4" w:space="0"/>
              <w:right w:val="single" w:color="auto" w:sz="4" w:space="0"/>
            </w:tcBorders>
            <w:shd w:val="clear" w:color="000000" w:fill="D9D9D9"/>
            <w:vAlign w:val="center"/>
          </w:tcPr>
          <w:p>
            <w:pPr>
              <w:widowControl/>
              <w:jc w:val="center"/>
              <w:rPr>
                <w:rFonts w:ascii="宋体" w:cs="Times New Roman"/>
                <w:b/>
                <w:bCs/>
                <w:kern w:val="0"/>
                <w:sz w:val="18"/>
                <w:szCs w:val="18"/>
              </w:rPr>
            </w:pPr>
            <w:r>
              <w:rPr>
                <w:rFonts w:ascii="宋体" w:hAnsi="宋体" w:cs="宋体"/>
                <w:b/>
                <w:bCs/>
                <w:kern w:val="0"/>
                <w:sz w:val="18"/>
                <w:szCs w:val="18"/>
              </w:rPr>
              <w:t>101</w:t>
            </w:r>
          </w:p>
        </w:tc>
        <w:tc>
          <w:tcPr>
            <w:tcW w:w="25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医用抑菌环保用铜材</w:t>
            </w:r>
          </w:p>
        </w:tc>
        <w:tc>
          <w:tcPr>
            <w:tcW w:w="18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海亮股份</w:t>
            </w:r>
          </w:p>
        </w:tc>
        <w:tc>
          <w:tcPr>
            <w:tcW w:w="3947"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年产</w:t>
            </w:r>
            <w:r>
              <w:rPr>
                <w:rFonts w:ascii="宋体" w:hAnsi="宋体" w:cs="宋体"/>
                <w:kern w:val="0"/>
                <w:sz w:val="18"/>
                <w:szCs w:val="18"/>
              </w:rPr>
              <w:t>1</w:t>
            </w:r>
            <w:r>
              <w:rPr>
                <w:rFonts w:hint="eastAsia" w:ascii="宋体" w:hAnsi="宋体" w:cs="宋体"/>
                <w:kern w:val="0"/>
                <w:sz w:val="18"/>
                <w:szCs w:val="18"/>
              </w:rPr>
              <w:t>万吨医用抑菌环保用铜材</w:t>
            </w:r>
          </w:p>
        </w:tc>
        <w:tc>
          <w:tcPr>
            <w:tcW w:w="1190"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6,500</w:t>
            </w:r>
          </w:p>
        </w:tc>
        <w:tc>
          <w:tcPr>
            <w:tcW w:w="1148"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8,000</w:t>
            </w:r>
          </w:p>
        </w:tc>
        <w:tc>
          <w:tcPr>
            <w:tcW w:w="1217"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家电卫浴</w:t>
            </w:r>
          </w:p>
        </w:tc>
        <w:tc>
          <w:tcPr>
            <w:tcW w:w="1442"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上杭县工业园</w:t>
            </w:r>
          </w:p>
        </w:tc>
      </w:tr>
      <w:tr>
        <w:trPr>
          <w:trHeight w:val="270" w:hRule="atLeast"/>
        </w:trPr>
        <w:tc>
          <w:tcPr>
            <w:tcW w:w="560" w:type="dxa"/>
            <w:tcBorders>
              <w:top w:val="nil"/>
              <w:left w:val="single" w:color="auto" w:sz="4" w:space="0"/>
              <w:bottom w:val="single" w:color="auto" w:sz="4" w:space="0"/>
              <w:right w:val="single" w:color="auto" w:sz="4" w:space="0"/>
            </w:tcBorders>
            <w:shd w:val="clear" w:color="000000" w:fill="D9D9D9"/>
            <w:vAlign w:val="center"/>
          </w:tcPr>
          <w:p>
            <w:pPr>
              <w:widowControl/>
              <w:jc w:val="center"/>
              <w:rPr>
                <w:rFonts w:ascii="宋体" w:cs="Times New Roman"/>
                <w:b/>
                <w:bCs/>
                <w:kern w:val="0"/>
                <w:sz w:val="18"/>
                <w:szCs w:val="18"/>
              </w:rPr>
            </w:pPr>
            <w:r>
              <w:rPr>
                <w:rFonts w:ascii="宋体" w:hAnsi="宋体" w:cs="宋体"/>
                <w:b/>
                <w:bCs/>
                <w:kern w:val="0"/>
                <w:sz w:val="18"/>
                <w:szCs w:val="18"/>
              </w:rPr>
              <w:t>102</w:t>
            </w:r>
          </w:p>
        </w:tc>
        <w:tc>
          <w:tcPr>
            <w:tcW w:w="25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高强耐蚀铜合金管</w:t>
            </w:r>
          </w:p>
        </w:tc>
        <w:tc>
          <w:tcPr>
            <w:tcW w:w="18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中铜公司</w:t>
            </w:r>
          </w:p>
        </w:tc>
        <w:tc>
          <w:tcPr>
            <w:tcW w:w="3947"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年产</w:t>
            </w:r>
            <w:r>
              <w:rPr>
                <w:rFonts w:ascii="宋体" w:hAnsi="宋体" w:cs="宋体"/>
                <w:kern w:val="0"/>
                <w:sz w:val="18"/>
                <w:szCs w:val="18"/>
              </w:rPr>
              <w:t>0.5</w:t>
            </w:r>
            <w:r>
              <w:rPr>
                <w:rFonts w:hint="eastAsia" w:ascii="宋体" w:hAnsi="宋体" w:cs="宋体"/>
                <w:kern w:val="0"/>
                <w:sz w:val="18"/>
                <w:szCs w:val="18"/>
              </w:rPr>
              <w:t>万吨高强耐蚀铜合金管</w:t>
            </w:r>
          </w:p>
        </w:tc>
        <w:tc>
          <w:tcPr>
            <w:tcW w:w="1190"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20,000</w:t>
            </w:r>
          </w:p>
        </w:tc>
        <w:tc>
          <w:tcPr>
            <w:tcW w:w="1148"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12,000</w:t>
            </w:r>
          </w:p>
        </w:tc>
        <w:tc>
          <w:tcPr>
            <w:tcW w:w="1217"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家电卫浴</w:t>
            </w:r>
          </w:p>
        </w:tc>
        <w:tc>
          <w:tcPr>
            <w:tcW w:w="1442"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上杭县工业园</w:t>
            </w:r>
          </w:p>
        </w:tc>
      </w:tr>
      <w:tr>
        <w:trPr>
          <w:trHeight w:val="450" w:hRule="atLeast"/>
        </w:trPr>
        <w:tc>
          <w:tcPr>
            <w:tcW w:w="560" w:type="dxa"/>
            <w:tcBorders>
              <w:top w:val="nil"/>
              <w:left w:val="single" w:color="auto" w:sz="4" w:space="0"/>
              <w:bottom w:val="single" w:color="auto" w:sz="4" w:space="0"/>
              <w:right w:val="single" w:color="auto" w:sz="4" w:space="0"/>
            </w:tcBorders>
            <w:shd w:val="clear" w:color="000000" w:fill="D9D9D9"/>
            <w:vAlign w:val="center"/>
          </w:tcPr>
          <w:p>
            <w:pPr>
              <w:widowControl/>
              <w:jc w:val="center"/>
              <w:rPr>
                <w:rFonts w:ascii="宋体" w:cs="Times New Roman"/>
                <w:b/>
                <w:bCs/>
                <w:kern w:val="0"/>
                <w:sz w:val="18"/>
                <w:szCs w:val="18"/>
              </w:rPr>
            </w:pPr>
            <w:r>
              <w:rPr>
                <w:rFonts w:ascii="宋体" w:hAnsi="宋体" w:cs="宋体"/>
                <w:b/>
                <w:bCs/>
                <w:kern w:val="0"/>
                <w:sz w:val="18"/>
                <w:szCs w:val="18"/>
              </w:rPr>
              <w:t>103</w:t>
            </w:r>
          </w:p>
        </w:tc>
        <w:tc>
          <w:tcPr>
            <w:tcW w:w="25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精密毛细铜</w:t>
            </w:r>
          </w:p>
        </w:tc>
        <w:tc>
          <w:tcPr>
            <w:tcW w:w="18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海亮股份、金龙集团</w:t>
            </w:r>
          </w:p>
        </w:tc>
        <w:tc>
          <w:tcPr>
            <w:tcW w:w="3947"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年产</w:t>
            </w:r>
            <w:r>
              <w:rPr>
                <w:rFonts w:ascii="宋体" w:hAnsi="宋体" w:cs="宋体"/>
                <w:kern w:val="0"/>
                <w:sz w:val="18"/>
                <w:szCs w:val="18"/>
              </w:rPr>
              <w:t>0.5</w:t>
            </w:r>
            <w:r>
              <w:rPr>
                <w:rFonts w:hint="eastAsia" w:ascii="宋体" w:hAnsi="宋体" w:cs="宋体"/>
                <w:kern w:val="0"/>
                <w:sz w:val="18"/>
                <w:szCs w:val="18"/>
              </w:rPr>
              <w:t>万吨精密铜管（内螺纹管、毛细管）</w:t>
            </w:r>
          </w:p>
        </w:tc>
        <w:tc>
          <w:tcPr>
            <w:tcW w:w="1190"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5,000</w:t>
            </w:r>
          </w:p>
        </w:tc>
        <w:tc>
          <w:tcPr>
            <w:tcW w:w="1148"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10,000</w:t>
            </w:r>
          </w:p>
        </w:tc>
        <w:tc>
          <w:tcPr>
            <w:tcW w:w="1217"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家电卫浴</w:t>
            </w:r>
          </w:p>
        </w:tc>
        <w:tc>
          <w:tcPr>
            <w:tcW w:w="1442"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上杭县工业园</w:t>
            </w:r>
          </w:p>
        </w:tc>
      </w:tr>
      <w:tr>
        <w:trPr>
          <w:trHeight w:val="270" w:hRule="atLeast"/>
        </w:trPr>
        <w:tc>
          <w:tcPr>
            <w:tcW w:w="560" w:type="dxa"/>
            <w:tcBorders>
              <w:top w:val="nil"/>
              <w:left w:val="single" w:color="auto" w:sz="4" w:space="0"/>
              <w:bottom w:val="single" w:color="auto" w:sz="4" w:space="0"/>
              <w:right w:val="single" w:color="auto" w:sz="4" w:space="0"/>
            </w:tcBorders>
            <w:shd w:val="clear" w:color="000000" w:fill="D9D9D9"/>
            <w:vAlign w:val="center"/>
          </w:tcPr>
          <w:p>
            <w:pPr>
              <w:widowControl/>
              <w:jc w:val="center"/>
              <w:rPr>
                <w:rFonts w:ascii="宋体" w:cs="Times New Roman"/>
                <w:b/>
                <w:bCs/>
                <w:kern w:val="0"/>
                <w:sz w:val="18"/>
                <w:szCs w:val="18"/>
              </w:rPr>
            </w:pPr>
            <w:r>
              <w:rPr>
                <w:rFonts w:ascii="宋体" w:hAnsi="宋体" w:cs="宋体"/>
                <w:b/>
                <w:bCs/>
                <w:kern w:val="0"/>
                <w:sz w:val="18"/>
                <w:szCs w:val="18"/>
              </w:rPr>
              <w:t>104</w:t>
            </w:r>
          </w:p>
        </w:tc>
        <w:tc>
          <w:tcPr>
            <w:tcW w:w="25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无铅易切削型铜合金</w:t>
            </w:r>
          </w:p>
        </w:tc>
        <w:tc>
          <w:tcPr>
            <w:tcW w:w="18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博威合金、南海国东</w:t>
            </w:r>
          </w:p>
        </w:tc>
        <w:tc>
          <w:tcPr>
            <w:tcW w:w="3947"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年产</w:t>
            </w:r>
            <w:r>
              <w:rPr>
                <w:rFonts w:ascii="宋体" w:hAnsi="宋体" w:cs="宋体"/>
                <w:kern w:val="0"/>
                <w:sz w:val="18"/>
                <w:szCs w:val="18"/>
              </w:rPr>
              <w:t>1</w:t>
            </w:r>
            <w:r>
              <w:rPr>
                <w:rFonts w:hint="eastAsia" w:ascii="宋体" w:hAnsi="宋体" w:cs="宋体"/>
                <w:kern w:val="0"/>
                <w:sz w:val="18"/>
                <w:szCs w:val="18"/>
              </w:rPr>
              <w:t>万吨无铅易切削型铜合金</w:t>
            </w:r>
          </w:p>
        </w:tc>
        <w:tc>
          <w:tcPr>
            <w:tcW w:w="1190"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20,000</w:t>
            </w:r>
          </w:p>
        </w:tc>
        <w:tc>
          <w:tcPr>
            <w:tcW w:w="1148"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7,500</w:t>
            </w:r>
          </w:p>
        </w:tc>
        <w:tc>
          <w:tcPr>
            <w:tcW w:w="1217"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家电卫浴</w:t>
            </w:r>
          </w:p>
        </w:tc>
        <w:tc>
          <w:tcPr>
            <w:tcW w:w="1442"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上杭县工业园</w:t>
            </w:r>
          </w:p>
        </w:tc>
      </w:tr>
      <w:tr>
        <w:trPr>
          <w:trHeight w:val="270" w:hRule="atLeast"/>
        </w:trPr>
        <w:tc>
          <w:tcPr>
            <w:tcW w:w="560" w:type="dxa"/>
            <w:tcBorders>
              <w:top w:val="nil"/>
              <w:left w:val="single" w:color="auto" w:sz="4" w:space="0"/>
              <w:bottom w:val="single" w:color="auto" w:sz="4" w:space="0"/>
              <w:right w:val="single" w:color="auto" w:sz="4" w:space="0"/>
            </w:tcBorders>
            <w:shd w:val="clear" w:color="000000" w:fill="D9D9D9"/>
            <w:vAlign w:val="center"/>
          </w:tcPr>
          <w:p>
            <w:pPr>
              <w:widowControl/>
              <w:jc w:val="center"/>
              <w:rPr>
                <w:rFonts w:ascii="宋体" w:cs="Times New Roman"/>
                <w:b/>
                <w:bCs/>
                <w:kern w:val="0"/>
                <w:sz w:val="18"/>
                <w:szCs w:val="18"/>
              </w:rPr>
            </w:pPr>
            <w:r>
              <w:rPr>
                <w:rFonts w:ascii="宋体" w:hAnsi="宋体" w:cs="宋体"/>
                <w:b/>
                <w:bCs/>
                <w:kern w:val="0"/>
                <w:sz w:val="18"/>
                <w:szCs w:val="18"/>
              </w:rPr>
              <w:t>105</w:t>
            </w:r>
          </w:p>
        </w:tc>
        <w:tc>
          <w:tcPr>
            <w:tcW w:w="25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高性能铜连接配管</w:t>
            </w:r>
          </w:p>
        </w:tc>
        <w:tc>
          <w:tcPr>
            <w:tcW w:w="18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广东恒基金属、盾安股份</w:t>
            </w:r>
          </w:p>
        </w:tc>
        <w:tc>
          <w:tcPr>
            <w:tcW w:w="3947"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年产</w:t>
            </w:r>
            <w:r>
              <w:rPr>
                <w:rFonts w:ascii="宋体" w:hAnsi="宋体" w:cs="宋体"/>
                <w:kern w:val="0"/>
                <w:sz w:val="18"/>
                <w:szCs w:val="18"/>
              </w:rPr>
              <w:t>50</w:t>
            </w:r>
            <w:r>
              <w:rPr>
                <w:rFonts w:hint="eastAsia" w:ascii="宋体" w:hAnsi="宋体" w:cs="宋体"/>
                <w:kern w:val="0"/>
                <w:sz w:val="18"/>
                <w:szCs w:val="18"/>
              </w:rPr>
              <w:t>万套高性能铜连接配管</w:t>
            </w:r>
          </w:p>
        </w:tc>
        <w:tc>
          <w:tcPr>
            <w:tcW w:w="1190"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15,000</w:t>
            </w:r>
          </w:p>
        </w:tc>
        <w:tc>
          <w:tcPr>
            <w:tcW w:w="1148"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20,000</w:t>
            </w:r>
          </w:p>
        </w:tc>
        <w:tc>
          <w:tcPr>
            <w:tcW w:w="1217"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家电卫浴</w:t>
            </w:r>
          </w:p>
        </w:tc>
        <w:tc>
          <w:tcPr>
            <w:tcW w:w="1442"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上杭县工业园</w:t>
            </w:r>
          </w:p>
        </w:tc>
      </w:tr>
      <w:tr>
        <w:trPr>
          <w:trHeight w:val="450" w:hRule="atLeast"/>
        </w:trPr>
        <w:tc>
          <w:tcPr>
            <w:tcW w:w="560" w:type="dxa"/>
            <w:tcBorders>
              <w:top w:val="nil"/>
              <w:left w:val="single" w:color="auto" w:sz="4" w:space="0"/>
              <w:bottom w:val="single" w:color="auto" w:sz="4" w:space="0"/>
              <w:right w:val="single" w:color="auto" w:sz="4" w:space="0"/>
            </w:tcBorders>
            <w:shd w:val="clear" w:color="000000" w:fill="D9D9D9"/>
            <w:vAlign w:val="center"/>
          </w:tcPr>
          <w:p>
            <w:pPr>
              <w:widowControl/>
              <w:jc w:val="center"/>
              <w:rPr>
                <w:rFonts w:ascii="宋体" w:cs="Times New Roman"/>
                <w:b/>
                <w:bCs/>
                <w:kern w:val="0"/>
                <w:sz w:val="18"/>
                <w:szCs w:val="18"/>
              </w:rPr>
            </w:pPr>
            <w:r>
              <w:rPr>
                <w:rFonts w:ascii="宋体" w:hAnsi="宋体" w:cs="宋体"/>
                <w:b/>
                <w:bCs/>
                <w:kern w:val="0"/>
                <w:sz w:val="18"/>
                <w:szCs w:val="18"/>
              </w:rPr>
              <w:t>106</w:t>
            </w:r>
          </w:p>
        </w:tc>
        <w:tc>
          <w:tcPr>
            <w:tcW w:w="25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特种铜质阀门生产项目</w:t>
            </w:r>
          </w:p>
        </w:tc>
        <w:tc>
          <w:tcPr>
            <w:tcW w:w="18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罗兰自控阀业、三川阀门</w:t>
            </w:r>
          </w:p>
        </w:tc>
        <w:tc>
          <w:tcPr>
            <w:tcW w:w="3947" w:type="dxa"/>
            <w:tcBorders>
              <w:top w:val="nil"/>
              <w:left w:val="nil"/>
              <w:bottom w:val="single" w:color="auto" w:sz="4" w:space="0"/>
              <w:right w:val="single" w:color="auto" w:sz="4" w:space="0"/>
            </w:tcBorders>
            <w:shd w:val="clear" w:color="000000" w:fill="FFFFFF"/>
            <w:vAlign w:val="center"/>
          </w:tcPr>
          <w:p>
            <w:pPr>
              <w:widowControl/>
              <w:spacing w:line="260" w:lineRule="exact"/>
              <w:jc w:val="left"/>
              <w:rPr>
                <w:rFonts w:ascii="宋体" w:cs="Times New Roman"/>
                <w:kern w:val="0"/>
                <w:sz w:val="18"/>
                <w:szCs w:val="18"/>
              </w:rPr>
            </w:pPr>
            <w:r>
              <w:rPr>
                <w:rFonts w:hint="eastAsia" w:ascii="宋体" w:hAnsi="宋体" w:cs="宋体"/>
                <w:kern w:val="0"/>
                <w:sz w:val="18"/>
                <w:szCs w:val="18"/>
              </w:rPr>
              <w:t>年产</w:t>
            </w:r>
            <w:r>
              <w:rPr>
                <w:rFonts w:ascii="宋体" w:hAnsi="宋体" w:cs="宋体"/>
                <w:kern w:val="0"/>
                <w:sz w:val="18"/>
                <w:szCs w:val="18"/>
              </w:rPr>
              <w:t>7500</w:t>
            </w:r>
            <w:r>
              <w:rPr>
                <w:rFonts w:hint="eastAsia" w:ascii="宋体" w:hAnsi="宋体" w:cs="宋体"/>
                <w:kern w:val="0"/>
                <w:sz w:val="18"/>
                <w:szCs w:val="18"/>
              </w:rPr>
              <w:t>台各种规格铜水（气）铜闸阀、铜球阀、铜截止阀、铜止回阀。</w:t>
            </w:r>
          </w:p>
        </w:tc>
        <w:tc>
          <w:tcPr>
            <w:tcW w:w="1190"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20,000</w:t>
            </w:r>
          </w:p>
        </w:tc>
        <w:tc>
          <w:tcPr>
            <w:tcW w:w="1148"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30,000</w:t>
            </w:r>
          </w:p>
        </w:tc>
        <w:tc>
          <w:tcPr>
            <w:tcW w:w="1217"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家电卫浴</w:t>
            </w:r>
          </w:p>
        </w:tc>
        <w:tc>
          <w:tcPr>
            <w:tcW w:w="1442"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上杭县工业园</w:t>
            </w:r>
          </w:p>
        </w:tc>
      </w:tr>
      <w:tr>
        <w:trPr>
          <w:trHeight w:val="1575" w:hRule="atLeast"/>
        </w:trPr>
        <w:tc>
          <w:tcPr>
            <w:tcW w:w="560" w:type="dxa"/>
            <w:tcBorders>
              <w:top w:val="nil"/>
              <w:left w:val="single" w:color="auto" w:sz="4" w:space="0"/>
              <w:bottom w:val="single" w:color="auto" w:sz="4" w:space="0"/>
              <w:right w:val="single" w:color="auto" w:sz="4" w:space="0"/>
            </w:tcBorders>
            <w:shd w:val="clear" w:color="000000" w:fill="D9D9D9"/>
            <w:vAlign w:val="center"/>
          </w:tcPr>
          <w:p>
            <w:pPr>
              <w:widowControl/>
              <w:jc w:val="center"/>
              <w:rPr>
                <w:rFonts w:ascii="宋体" w:cs="Times New Roman"/>
                <w:b/>
                <w:bCs/>
                <w:kern w:val="0"/>
                <w:sz w:val="18"/>
                <w:szCs w:val="18"/>
              </w:rPr>
            </w:pPr>
            <w:r>
              <w:rPr>
                <w:rFonts w:ascii="宋体" w:hAnsi="宋体" w:cs="宋体"/>
                <w:b/>
                <w:bCs/>
                <w:kern w:val="0"/>
                <w:sz w:val="18"/>
                <w:szCs w:val="18"/>
              </w:rPr>
              <w:t>107</w:t>
            </w:r>
          </w:p>
        </w:tc>
        <w:tc>
          <w:tcPr>
            <w:tcW w:w="25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铜锭及小五金部件基地建设项目</w:t>
            </w:r>
          </w:p>
        </w:tc>
        <w:tc>
          <w:tcPr>
            <w:tcW w:w="18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罗兰自控阀业、三川阀门</w:t>
            </w:r>
          </w:p>
        </w:tc>
        <w:tc>
          <w:tcPr>
            <w:tcW w:w="3947" w:type="dxa"/>
            <w:tcBorders>
              <w:top w:val="nil"/>
              <w:left w:val="nil"/>
              <w:bottom w:val="single" w:color="auto" w:sz="4" w:space="0"/>
              <w:right w:val="single" w:color="auto" w:sz="4" w:space="0"/>
            </w:tcBorders>
            <w:shd w:val="clear" w:color="000000" w:fill="FFFFFF"/>
            <w:vAlign w:val="center"/>
          </w:tcPr>
          <w:p>
            <w:pPr>
              <w:widowControl/>
              <w:spacing w:line="260" w:lineRule="exact"/>
              <w:jc w:val="left"/>
              <w:rPr>
                <w:rFonts w:ascii="宋体" w:cs="Times New Roman"/>
                <w:kern w:val="0"/>
                <w:sz w:val="18"/>
                <w:szCs w:val="18"/>
              </w:rPr>
            </w:pPr>
            <w:r>
              <w:rPr>
                <w:rFonts w:hint="eastAsia" w:ascii="宋体" w:hAnsi="宋体" w:cs="宋体"/>
                <w:kern w:val="0"/>
                <w:sz w:val="18"/>
                <w:szCs w:val="18"/>
              </w:rPr>
              <w:t>项目一期建设黄铜锭生产项目，年产铜锭</w:t>
            </w:r>
            <w:r>
              <w:rPr>
                <w:rFonts w:ascii="宋体" w:hAnsi="宋体" w:cs="宋体"/>
                <w:kern w:val="0"/>
                <w:sz w:val="18"/>
                <w:szCs w:val="18"/>
              </w:rPr>
              <w:t>8</w:t>
            </w:r>
            <w:r>
              <w:rPr>
                <w:rFonts w:hint="eastAsia" w:ascii="宋体" w:hAnsi="宋体" w:cs="宋体"/>
                <w:kern w:val="0"/>
                <w:sz w:val="18"/>
                <w:szCs w:val="18"/>
              </w:rPr>
              <w:t>万吨；项目二期由铜锭往下游成品拓展，开展卫浴五金产品生产项目，主要生产小五金产品；项目三期建设卫浴五金产业园，带动上游铜配件供应商来杭，形成小五金部件产业链条，打造成为小五金部件加工基地。</w:t>
            </w:r>
          </w:p>
        </w:tc>
        <w:tc>
          <w:tcPr>
            <w:tcW w:w="1190"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140,000</w:t>
            </w:r>
          </w:p>
        </w:tc>
        <w:tc>
          <w:tcPr>
            <w:tcW w:w="1148"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500,000</w:t>
            </w:r>
          </w:p>
        </w:tc>
        <w:tc>
          <w:tcPr>
            <w:tcW w:w="1217"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家电卫浴</w:t>
            </w:r>
          </w:p>
        </w:tc>
        <w:tc>
          <w:tcPr>
            <w:tcW w:w="1442"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上杭县工业园</w:t>
            </w:r>
          </w:p>
        </w:tc>
      </w:tr>
      <w:tr>
        <w:trPr>
          <w:trHeight w:val="450" w:hRule="atLeast"/>
        </w:trPr>
        <w:tc>
          <w:tcPr>
            <w:tcW w:w="560" w:type="dxa"/>
            <w:tcBorders>
              <w:top w:val="nil"/>
              <w:left w:val="single" w:color="auto" w:sz="4" w:space="0"/>
              <w:bottom w:val="single" w:color="auto" w:sz="4" w:space="0"/>
              <w:right w:val="single" w:color="auto" w:sz="4" w:space="0"/>
            </w:tcBorders>
            <w:shd w:val="clear" w:color="000000" w:fill="D9D9D9"/>
            <w:vAlign w:val="center"/>
          </w:tcPr>
          <w:p>
            <w:pPr>
              <w:widowControl/>
              <w:jc w:val="center"/>
              <w:rPr>
                <w:rFonts w:ascii="宋体" w:cs="Times New Roman"/>
                <w:b/>
                <w:bCs/>
                <w:kern w:val="0"/>
                <w:sz w:val="18"/>
                <w:szCs w:val="18"/>
              </w:rPr>
            </w:pPr>
            <w:r>
              <w:rPr>
                <w:rFonts w:ascii="宋体" w:hAnsi="宋体" w:cs="宋体"/>
                <w:b/>
                <w:bCs/>
                <w:kern w:val="0"/>
                <w:sz w:val="18"/>
                <w:szCs w:val="18"/>
              </w:rPr>
              <w:t>108</w:t>
            </w:r>
          </w:p>
        </w:tc>
        <w:tc>
          <w:tcPr>
            <w:tcW w:w="25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海水淡化设备生产项目</w:t>
            </w:r>
          </w:p>
        </w:tc>
        <w:tc>
          <w:tcPr>
            <w:tcW w:w="18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莱特莱德深圳水处理设备公司</w:t>
            </w:r>
          </w:p>
        </w:tc>
        <w:tc>
          <w:tcPr>
            <w:tcW w:w="3947"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设计和生产热法海水淡化设备项目</w:t>
            </w:r>
          </w:p>
        </w:tc>
        <w:tc>
          <w:tcPr>
            <w:tcW w:w="1190"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60,000</w:t>
            </w:r>
          </w:p>
        </w:tc>
        <w:tc>
          <w:tcPr>
            <w:tcW w:w="1148"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200,000</w:t>
            </w:r>
          </w:p>
        </w:tc>
        <w:tc>
          <w:tcPr>
            <w:tcW w:w="1217"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家电卫浴</w:t>
            </w:r>
          </w:p>
        </w:tc>
        <w:tc>
          <w:tcPr>
            <w:tcW w:w="1442"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上杭县工业园</w:t>
            </w:r>
          </w:p>
        </w:tc>
      </w:tr>
      <w:tr>
        <w:trPr>
          <w:trHeight w:val="270" w:hRule="atLeast"/>
        </w:trPr>
        <w:tc>
          <w:tcPr>
            <w:tcW w:w="560" w:type="dxa"/>
            <w:tcBorders>
              <w:top w:val="nil"/>
              <w:left w:val="single" w:color="auto" w:sz="4" w:space="0"/>
              <w:bottom w:val="single" w:color="auto" w:sz="4" w:space="0"/>
              <w:right w:val="single" w:color="auto" w:sz="4" w:space="0"/>
            </w:tcBorders>
            <w:shd w:val="clear" w:color="000000" w:fill="D9D9D9"/>
            <w:vAlign w:val="center"/>
          </w:tcPr>
          <w:p>
            <w:pPr>
              <w:widowControl/>
              <w:jc w:val="center"/>
              <w:rPr>
                <w:rFonts w:ascii="宋体" w:cs="Times New Roman"/>
                <w:b/>
                <w:bCs/>
                <w:kern w:val="0"/>
                <w:sz w:val="18"/>
                <w:szCs w:val="18"/>
              </w:rPr>
            </w:pPr>
            <w:r>
              <w:rPr>
                <w:rFonts w:ascii="宋体" w:hAnsi="宋体" w:cs="宋体"/>
                <w:b/>
                <w:bCs/>
                <w:kern w:val="0"/>
                <w:sz w:val="18"/>
                <w:szCs w:val="18"/>
              </w:rPr>
              <w:t>109</w:t>
            </w:r>
          </w:p>
        </w:tc>
        <w:tc>
          <w:tcPr>
            <w:tcW w:w="25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铜铝复合管项目</w:t>
            </w:r>
          </w:p>
        </w:tc>
        <w:tc>
          <w:tcPr>
            <w:tcW w:w="18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海亮股份</w:t>
            </w:r>
          </w:p>
        </w:tc>
        <w:tc>
          <w:tcPr>
            <w:tcW w:w="3947"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年产</w:t>
            </w:r>
            <w:r>
              <w:rPr>
                <w:rFonts w:ascii="宋体" w:hAnsi="宋体" w:cs="宋体"/>
                <w:kern w:val="0"/>
                <w:sz w:val="18"/>
                <w:szCs w:val="18"/>
              </w:rPr>
              <w:t>1</w:t>
            </w:r>
            <w:r>
              <w:rPr>
                <w:rFonts w:hint="eastAsia" w:ascii="宋体" w:hAnsi="宋体" w:cs="宋体"/>
                <w:kern w:val="0"/>
                <w:sz w:val="18"/>
                <w:szCs w:val="18"/>
              </w:rPr>
              <w:t>万吨铜铝复合管材生产项目</w:t>
            </w:r>
          </w:p>
        </w:tc>
        <w:tc>
          <w:tcPr>
            <w:tcW w:w="1190"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4,000</w:t>
            </w:r>
          </w:p>
        </w:tc>
        <w:tc>
          <w:tcPr>
            <w:tcW w:w="1148"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29,500</w:t>
            </w:r>
          </w:p>
        </w:tc>
        <w:tc>
          <w:tcPr>
            <w:tcW w:w="1217"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家电卫浴</w:t>
            </w:r>
          </w:p>
        </w:tc>
        <w:tc>
          <w:tcPr>
            <w:tcW w:w="1442"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上杭县工业园</w:t>
            </w:r>
          </w:p>
        </w:tc>
      </w:tr>
      <w:tr>
        <w:trPr>
          <w:trHeight w:val="900" w:hRule="atLeast"/>
        </w:trPr>
        <w:tc>
          <w:tcPr>
            <w:tcW w:w="560" w:type="dxa"/>
            <w:tcBorders>
              <w:top w:val="nil"/>
              <w:left w:val="single" w:color="auto" w:sz="4" w:space="0"/>
              <w:bottom w:val="single" w:color="auto" w:sz="4" w:space="0"/>
              <w:right w:val="single" w:color="auto" w:sz="4" w:space="0"/>
            </w:tcBorders>
            <w:shd w:val="clear" w:color="000000" w:fill="D9D9D9"/>
            <w:vAlign w:val="center"/>
          </w:tcPr>
          <w:p>
            <w:pPr>
              <w:widowControl/>
              <w:jc w:val="center"/>
              <w:rPr>
                <w:rFonts w:ascii="宋体" w:cs="Times New Roman"/>
                <w:b/>
                <w:bCs/>
                <w:kern w:val="0"/>
                <w:sz w:val="18"/>
                <w:szCs w:val="18"/>
              </w:rPr>
            </w:pPr>
            <w:r>
              <w:rPr>
                <w:rFonts w:ascii="宋体" w:hAnsi="宋体" w:cs="宋体"/>
                <w:b/>
                <w:bCs/>
                <w:kern w:val="0"/>
                <w:sz w:val="18"/>
                <w:szCs w:val="18"/>
              </w:rPr>
              <w:t>110</w:t>
            </w:r>
          </w:p>
        </w:tc>
        <w:tc>
          <w:tcPr>
            <w:tcW w:w="25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制冷家电控制铜阀件项目</w:t>
            </w:r>
          </w:p>
        </w:tc>
        <w:tc>
          <w:tcPr>
            <w:tcW w:w="18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露笑科技、盾安股份</w:t>
            </w:r>
          </w:p>
        </w:tc>
        <w:tc>
          <w:tcPr>
            <w:tcW w:w="3947" w:type="dxa"/>
            <w:tcBorders>
              <w:top w:val="nil"/>
              <w:left w:val="nil"/>
              <w:bottom w:val="single" w:color="auto" w:sz="4" w:space="0"/>
              <w:right w:val="single" w:color="auto" w:sz="4" w:space="0"/>
            </w:tcBorders>
            <w:shd w:val="clear" w:color="000000" w:fill="FFFFFF"/>
            <w:vAlign w:val="center"/>
          </w:tcPr>
          <w:p>
            <w:pPr>
              <w:widowControl/>
              <w:spacing w:line="240" w:lineRule="exact"/>
              <w:jc w:val="left"/>
              <w:rPr>
                <w:rFonts w:ascii="宋体" w:cs="Times New Roman"/>
                <w:kern w:val="0"/>
                <w:sz w:val="18"/>
                <w:szCs w:val="18"/>
              </w:rPr>
            </w:pPr>
            <w:r>
              <w:rPr>
                <w:rFonts w:hint="eastAsia" w:ascii="宋体" w:hAnsi="宋体" w:cs="宋体"/>
                <w:kern w:val="0"/>
                <w:sz w:val="18"/>
                <w:szCs w:val="18"/>
              </w:rPr>
              <w:t>年产</w:t>
            </w:r>
            <w:r>
              <w:rPr>
                <w:rFonts w:ascii="宋体" w:hAnsi="宋体" w:cs="宋体"/>
                <w:kern w:val="0"/>
                <w:sz w:val="18"/>
                <w:szCs w:val="18"/>
              </w:rPr>
              <w:t>200</w:t>
            </w:r>
            <w:r>
              <w:rPr>
                <w:rFonts w:hint="eastAsia" w:ascii="宋体" w:hAnsi="宋体" w:cs="宋体"/>
                <w:kern w:val="0"/>
                <w:sz w:val="18"/>
                <w:szCs w:val="18"/>
              </w:rPr>
              <w:t>万套制冷空调用用四通换向阀、截止阀、电子膨胀阀、电磁阀、压缩机用（铜、铁）贮液器、成套管组件、冰箱用电磁阀和干燥过滤器等。</w:t>
            </w:r>
          </w:p>
        </w:tc>
        <w:tc>
          <w:tcPr>
            <w:tcW w:w="1190"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50,000</w:t>
            </w:r>
          </w:p>
        </w:tc>
        <w:tc>
          <w:tcPr>
            <w:tcW w:w="1148"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250,000</w:t>
            </w:r>
          </w:p>
        </w:tc>
        <w:tc>
          <w:tcPr>
            <w:tcW w:w="1217"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家电卫浴</w:t>
            </w:r>
          </w:p>
        </w:tc>
        <w:tc>
          <w:tcPr>
            <w:tcW w:w="1442"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上杭县工业园</w:t>
            </w:r>
          </w:p>
        </w:tc>
      </w:tr>
      <w:tr>
        <w:trPr>
          <w:trHeight w:val="450" w:hRule="atLeast"/>
        </w:trPr>
        <w:tc>
          <w:tcPr>
            <w:tcW w:w="560" w:type="dxa"/>
            <w:tcBorders>
              <w:top w:val="nil"/>
              <w:left w:val="single" w:color="auto" w:sz="4" w:space="0"/>
              <w:bottom w:val="single" w:color="auto" w:sz="4" w:space="0"/>
              <w:right w:val="single" w:color="auto" w:sz="4" w:space="0"/>
            </w:tcBorders>
            <w:shd w:val="clear" w:color="000000" w:fill="D9D9D9"/>
            <w:vAlign w:val="center"/>
          </w:tcPr>
          <w:p>
            <w:pPr>
              <w:widowControl/>
              <w:jc w:val="center"/>
              <w:rPr>
                <w:rFonts w:ascii="宋体" w:cs="Times New Roman"/>
                <w:b/>
                <w:bCs/>
                <w:kern w:val="0"/>
                <w:sz w:val="18"/>
                <w:szCs w:val="18"/>
              </w:rPr>
            </w:pPr>
            <w:r>
              <w:rPr>
                <w:rFonts w:ascii="宋体" w:hAnsi="宋体" w:cs="宋体"/>
                <w:b/>
                <w:bCs/>
                <w:kern w:val="0"/>
                <w:sz w:val="18"/>
                <w:szCs w:val="18"/>
              </w:rPr>
              <w:t>111</w:t>
            </w:r>
          </w:p>
        </w:tc>
        <w:tc>
          <w:tcPr>
            <w:tcW w:w="2562"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弥散铜项目</w:t>
            </w:r>
          </w:p>
        </w:tc>
        <w:tc>
          <w:tcPr>
            <w:tcW w:w="1862" w:type="dxa"/>
            <w:tcBorders>
              <w:top w:val="nil"/>
              <w:left w:val="nil"/>
              <w:bottom w:val="single" w:color="auto" w:sz="4" w:space="0"/>
              <w:right w:val="single" w:color="auto" w:sz="4" w:space="0"/>
            </w:tcBorders>
            <w:shd w:val="clear" w:color="000000" w:fill="FFFFFF"/>
            <w:vAlign w:val="center"/>
          </w:tcPr>
          <w:p>
            <w:pPr>
              <w:widowControl/>
              <w:spacing w:line="260" w:lineRule="exact"/>
              <w:jc w:val="left"/>
              <w:rPr>
                <w:rFonts w:ascii="宋体" w:cs="Times New Roman"/>
                <w:kern w:val="0"/>
                <w:sz w:val="18"/>
                <w:szCs w:val="18"/>
              </w:rPr>
            </w:pPr>
            <w:r>
              <w:rPr>
                <w:rFonts w:hint="eastAsia" w:ascii="宋体" w:hAnsi="宋体" w:cs="宋体"/>
                <w:kern w:val="0"/>
                <w:sz w:val="18"/>
                <w:szCs w:val="18"/>
              </w:rPr>
              <w:t>中船重工第七二五研究所、北京有色金属研究总院</w:t>
            </w:r>
          </w:p>
        </w:tc>
        <w:tc>
          <w:tcPr>
            <w:tcW w:w="3947" w:type="dxa"/>
            <w:tcBorders>
              <w:top w:val="nil"/>
              <w:left w:val="nil"/>
              <w:bottom w:val="single" w:color="auto" w:sz="4" w:space="0"/>
              <w:right w:val="single" w:color="auto" w:sz="4" w:space="0"/>
            </w:tcBorders>
            <w:shd w:val="clear" w:color="000000" w:fill="FFFFFF"/>
            <w:vAlign w:val="center"/>
          </w:tcPr>
          <w:p>
            <w:pPr>
              <w:widowControl/>
              <w:jc w:val="left"/>
              <w:rPr>
                <w:rFonts w:ascii="宋体" w:cs="Times New Roman"/>
                <w:kern w:val="0"/>
                <w:sz w:val="18"/>
                <w:szCs w:val="18"/>
              </w:rPr>
            </w:pPr>
            <w:r>
              <w:rPr>
                <w:rFonts w:hint="eastAsia" w:ascii="宋体" w:hAnsi="宋体" w:cs="宋体"/>
                <w:kern w:val="0"/>
                <w:sz w:val="18"/>
                <w:szCs w:val="18"/>
              </w:rPr>
              <w:t>年产</w:t>
            </w:r>
            <w:r>
              <w:rPr>
                <w:rFonts w:ascii="宋体" w:hAnsi="宋体" w:cs="宋体"/>
                <w:kern w:val="0"/>
                <w:sz w:val="18"/>
                <w:szCs w:val="18"/>
              </w:rPr>
              <w:t>500</w:t>
            </w:r>
            <w:r>
              <w:rPr>
                <w:rFonts w:hint="eastAsia" w:ascii="宋体" w:hAnsi="宋体" w:cs="宋体"/>
                <w:kern w:val="0"/>
                <w:sz w:val="18"/>
                <w:szCs w:val="18"/>
              </w:rPr>
              <w:t>吨高强高导弥散铜项目</w:t>
            </w:r>
          </w:p>
        </w:tc>
        <w:tc>
          <w:tcPr>
            <w:tcW w:w="1190"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15,000</w:t>
            </w:r>
          </w:p>
        </w:tc>
        <w:tc>
          <w:tcPr>
            <w:tcW w:w="1148" w:type="dxa"/>
            <w:tcBorders>
              <w:top w:val="nil"/>
              <w:left w:val="nil"/>
              <w:bottom w:val="single" w:color="auto" w:sz="4" w:space="0"/>
              <w:right w:val="single" w:color="auto" w:sz="4" w:space="0"/>
            </w:tcBorders>
            <w:shd w:val="clear" w:color="000000" w:fill="FFFFFF"/>
            <w:vAlign w:val="center"/>
          </w:tcPr>
          <w:p>
            <w:pPr>
              <w:widowControl/>
              <w:jc w:val="right"/>
              <w:rPr>
                <w:rFonts w:ascii="宋体" w:cs="Times New Roman"/>
                <w:kern w:val="0"/>
                <w:sz w:val="18"/>
                <w:szCs w:val="18"/>
              </w:rPr>
            </w:pPr>
            <w:r>
              <w:rPr>
                <w:rFonts w:ascii="宋体" w:hAnsi="宋体" w:cs="宋体"/>
                <w:kern w:val="0"/>
                <w:sz w:val="18"/>
                <w:szCs w:val="18"/>
              </w:rPr>
              <w:t>9,000</w:t>
            </w:r>
          </w:p>
        </w:tc>
        <w:tc>
          <w:tcPr>
            <w:tcW w:w="1217"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　</w:t>
            </w:r>
          </w:p>
        </w:tc>
        <w:tc>
          <w:tcPr>
            <w:tcW w:w="1442" w:type="dxa"/>
            <w:tcBorders>
              <w:top w:val="nil"/>
              <w:left w:val="nil"/>
              <w:bottom w:val="single" w:color="auto" w:sz="4" w:space="0"/>
              <w:right w:val="single" w:color="auto" w:sz="4" w:space="0"/>
            </w:tcBorders>
            <w:shd w:val="clear" w:color="000000" w:fill="FFFFFF"/>
            <w:vAlign w:val="center"/>
          </w:tcPr>
          <w:p>
            <w:pPr>
              <w:widowControl/>
              <w:jc w:val="center"/>
              <w:rPr>
                <w:rFonts w:ascii="宋体" w:cs="Times New Roman"/>
                <w:kern w:val="0"/>
                <w:sz w:val="18"/>
                <w:szCs w:val="18"/>
              </w:rPr>
            </w:pPr>
            <w:r>
              <w:rPr>
                <w:rFonts w:hint="eastAsia" w:ascii="宋体" w:hAnsi="宋体" w:cs="宋体"/>
                <w:kern w:val="0"/>
                <w:sz w:val="18"/>
                <w:szCs w:val="18"/>
              </w:rPr>
              <w:t>上杭县工业园</w:t>
            </w:r>
          </w:p>
        </w:tc>
      </w:tr>
      <w:tr>
        <w:trPr>
          <w:trHeight w:val="270" w:hRule="atLeast"/>
        </w:trPr>
        <w:tc>
          <w:tcPr>
            <w:tcW w:w="560" w:type="dxa"/>
            <w:tcBorders>
              <w:top w:val="nil"/>
              <w:left w:val="single" w:color="auto" w:sz="4" w:space="0"/>
              <w:bottom w:val="single" w:color="auto" w:sz="4" w:space="0"/>
              <w:right w:val="single" w:color="auto" w:sz="4" w:space="0"/>
            </w:tcBorders>
            <w:shd w:val="clear" w:color="000000" w:fill="D9D9D9"/>
            <w:vAlign w:val="center"/>
          </w:tcPr>
          <w:p>
            <w:pPr>
              <w:widowControl/>
              <w:jc w:val="left"/>
              <w:rPr>
                <w:rFonts w:ascii="宋体" w:cs="Times New Roman"/>
                <w:b/>
                <w:bCs/>
                <w:kern w:val="0"/>
                <w:sz w:val="22"/>
                <w:szCs w:val="22"/>
              </w:rPr>
            </w:pPr>
            <w:r>
              <w:rPr>
                <w:rFonts w:hint="eastAsia" w:ascii="宋体" w:hAnsi="宋体" w:cs="宋体"/>
                <w:b/>
                <w:bCs/>
                <w:kern w:val="0"/>
                <w:sz w:val="22"/>
                <w:szCs w:val="22"/>
              </w:rPr>
              <w:t>　</w:t>
            </w:r>
          </w:p>
        </w:tc>
        <w:tc>
          <w:tcPr>
            <w:tcW w:w="2562" w:type="dxa"/>
            <w:tcBorders>
              <w:top w:val="nil"/>
              <w:left w:val="nil"/>
              <w:bottom w:val="single" w:color="auto" w:sz="4" w:space="0"/>
              <w:right w:val="single" w:color="auto" w:sz="4" w:space="0"/>
            </w:tcBorders>
            <w:shd w:val="clear" w:color="000000" w:fill="D9D9D9"/>
            <w:vAlign w:val="center"/>
          </w:tcPr>
          <w:p>
            <w:pPr>
              <w:widowControl/>
              <w:jc w:val="left"/>
              <w:rPr>
                <w:rFonts w:ascii="宋体" w:cs="Times New Roman"/>
                <w:b/>
                <w:bCs/>
                <w:kern w:val="0"/>
                <w:sz w:val="18"/>
                <w:szCs w:val="18"/>
              </w:rPr>
            </w:pPr>
            <w:r>
              <w:rPr>
                <w:rFonts w:hint="eastAsia" w:ascii="宋体" w:hAnsi="宋体" w:cs="宋体"/>
                <w:b/>
                <w:bCs/>
                <w:kern w:val="0"/>
                <w:sz w:val="18"/>
                <w:szCs w:val="18"/>
              </w:rPr>
              <w:t>合计</w:t>
            </w:r>
          </w:p>
        </w:tc>
        <w:tc>
          <w:tcPr>
            <w:tcW w:w="1862" w:type="dxa"/>
            <w:tcBorders>
              <w:top w:val="nil"/>
              <w:left w:val="nil"/>
              <w:bottom w:val="single" w:color="auto" w:sz="4" w:space="0"/>
              <w:right w:val="single" w:color="auto" w:sz="4" w:space="0"/>
            </w:tcBorders>
            <w:shd w:val="clear" w:color="000000" w:fill="D9D9D9"/>
            <w:vAlign w:val="center"/>
          </w:tcPr>
          <w:p>
            <w:pPr>
              <w:widowControl/>
              <w:jc w:val="left"/>
              <w:rPr>
                <w:rFonts w:ascii="宋体" w:cs="Times New Roman"/>
                <w:b/>
                <w:bCs/>
                <w:kern w:val="0"/>
                <w:sz w:val="22"/>
                <w:szCs w:val="22"/>
              </w:rPr>
            </w:pPr>
            <w:r>
              <w:rPr>
                <w:rFonts w:hint="eastAsia" w:ascii="宋体" w:hAnsi="宋体" w:cs="宋体"/>
                <w:b/>
                <w:bCs/>
                <w:kern w:val="0"/>
                <w:sz w:val="22"/>
                <w:szCs w:val="22"/>
              </w:rPr>
              <w:t>　</w:t>
            </w:r>
          </w:p>
        </w:tc>
        <w:tc>
          <w:tcPr>
            <w:tcW w:w="3947" w:type="dxa"/>
            <w:tcBorders>
              <w:top w:val="nil"/>
              <w:left w:val="nil"/>
              <w:bottom w:val="single" w:color="auto" w:sz="4" w:space="0"/>
              <w:right w:val="single" w:color="auto" w:sz="4" w:space="0"/>
            </w:tcBorders>
            <w:shd w:val="clear" w:color="000000" w:fill="D9D9D9"/>
            <w:vAlign w:val="center"/>
          </w:tcPr>
          <w:p>
            <w:pPr>
              <w:widowControl/>
              <w:jc w:val="left"/>
              <w:rPr>
                <w:rFonts w:ascii="宋体" w:cs="Times New Roman"/>
                <w:b/>
                <w:bCs/>
                <w:kern w:val="0"/>
                <w:sz w:val="22"/>
                <w:szCs w:val="22"/>
              </w:rPr>
            </w:pPr>
            <w:r>
              <w:rPr>
                <w:rFonts w:hint="eastAsia" w:ascii="宋体" w:hAnsi="宋体" w:cs="宋体"/>
                <w:b/>
                <w:bCs/>
                <w:kern w:val="0"/>
                <w:sz w:val="22"/>
                <w:szCs w:val="22"/>
              </w:rPr>
              <w:t>　</w:t>
            </w:r>
          </w:p>
        </w:tc>
        <w:tc>
          <w:tcPr>
            <w:tcW w:w="1190" w:type="dxa"/>
            <w:tcBorders>
              <w:top w:val="nil"/>
              <w:left w:val="nil"/>
              <w:bottom w:val="single" w:color="auto" w:sz="4" w:space="0"/>
              <w:right w:val="single" w:color="auto" w:sz="4" w:space="0"/>
            </w:tcBorders>
            <w:shd w:val="clear" w:color="000000" w:fill="D9D9D9"/>
            <w:vAlign w:val="center"/>
          </w:tcPr>
          <w:p>
            <w:pPr>
              <w:widowControl/>
              <w:jc w:val="right"/>
              <w:rPr>
                <w:rFonts w:ascii="宋体" w:cs="Times New Roman"/>
                <w:b/>
                <w:bCs/>
                <w:kern w:val="0"/>
                <w:sz w:val="18"/>
                <w:szCs w:val="18"/>
              </w:rPr>
            </w:pPr>
            <w:r>
              <w:rPr>
                <w:rFonts w:ascii="宋体" w:hAnsi="宋体" w:cs="宋体"/>
                <w:b/>
                <w:bCs/>
                <w:kern w:val="0"/>
                <w:sz w:val="18"/>
                <w:szCs w:val="18"/>
              </w:rPr>
              <w:t>3,368,646</w:t>
            </w:r>
          </w:p>
        </w:tc>
        <w:tc>
          <w:tcPr>
            <w:tcW w:w="1148" w:type="dxa"/>
            <w:tcBorders>
              <w:top w:val="nil"/>
              <w:left w:val="nil"/>
              <w:bottom w:val="single" w:color="auto" w:sz="4" w:space="0"/>
              <w:right w:val="single" w:color="auto" w:sz="4" w:space="0"/>
            </w:tcBorders>
            <w:shd w:val="clear" w:color="000000" w:fill="D9D9D9"/>
            <w:vAlign w:val="center"/>
          </w:tcPr>
          <w:p>
            <w:pPr>
              <w:widowControl/>
              <w:jc w:val="right"/>
              <w:rPr>
                <w:rFonts w:ascii="宋体" w:cs="Times New Roman"/>
                <w:b/>
                <w:bCs/>
                <w:kern w:val="0"/>
                <w:sz w:val="18"/>
                <w:szCs w:val="18"/>
              </w:rPr>
            </w:pPr>
            <w:r>
              <w:rPr>
                <w:rFonts w:ascii="宋体" w:hAnsi="宋体" w:cs="宋体"/>
                <w:b/>
                <w:bCs/>
                <w:kern w:val="0"/>
                <w:sz w:val="18"/>
                <w:szCs w:val="18"/>
              </w:rPr>
              <w:t>9,335,700</w:t>
            </w:r>
          </w:p>
        </w:tc>
        <w:tc>
          <w:tcPr>
            <w:tcW w:w="1217" w:type="dxa"/>
            <w:tcBorders>
              <w:top w:val="nil"/>
              <w:left w:val="nil"/>
              <w:bottom w:val="single" w:color="auto" w:sz="4" w:space="0"/>
              <w:right w:val="single" w:color="auto" w:sz="4" w:space="0"/>
            </w:tcBorders>
            <w:shd w:val="clear" w:color="000000" w:fill="D9D9D9"/>
            <w:vAlign w:val="center"/>
          </w:tcPr>
          <w:p>
            <w:pPr>
              <w:widowControl/>
              <w:jc w:val="left"/>
              <w:rPr>
                <w:rFonts w:ascii="宋体" w:cs="Times New Roman"/>
                <w:b/>
                <w:bCs/>
                <w:kern w:val="0"/>
                <w:sz w:val="22"/>
                <w:szCs w:val="22"/>
              </w:rPr>
            </w:pPr>
            <w:r>
              <w:rPr>
                <w:rFonts w:hint="eastAsia" w:ascii="宋体" w:hAnsi="宋体" w:cs="宋体"/>
                <w:b/>
                <w:bCs/>
                <w:kern w:val="0"/>
                <w:sz w:val="22"/>
                <w:szCs w:val="22"/>
              </w:rPr>
              <w:t>　</w:t>
            </w:r>
          </w:p>
        </w:tc>
        <w:tc>
          <w:tcPr>
            <w:tcW w:w="1442" w:type="dxa"/>
            <w:tcBorders>
              <w:top w:val="nil"/>
              <w:left w:val="nil"/>
              <w:bottom w:val="single" w:color="auto" w:sz="4" w:space="0"/>
              <w:right w:val="single" w:color="auto" w:sz="4" w:space="0"/>
            </w:tcBorders>
            <w:shd w:val="clear" w:color="000000" w:fill="D9D9D9"/>
            <w:vAlign w:val="center"/>
          </w:tcPr>
          <w:p>
            <w:pPr>
              <w:widowControl/>
              <w:jc w:val="left"/>
              <w:rPr>
                <w:rFonts w:ascii="宋体" w:cs="Times New Roman"/>
                <w:b/>
                <w:bCs/>
                <w:kern w:val="0"/>
                <w:sz w:val="22"/>
                <w:szCs w:val="22"/>
              </w:rPr>
            </w:pPr>
            <w:r>
              <w:rPr>
                <w:rFonts w:hint="eastAsia" w:ascii="宋体" w:hAnsi="宋体" w:cs="宋体"/>
                <w:b/>
                <w:bCs/>
                <w:kern w:val="0"/>
                <w:sz w:val="22"/>
                <w:szCs w:val="22"/>
              </w:rPr>
              <w:t>　</w:t>
            </w:r>
          </w:p>
        </w:tc>
      </w:tr>
    </w:tbl>
    <w:p>
      <w:pPr>
        <w:spacing w:beforeLines="100"/>
        <w:jc w:val="center"/>
        <w:rPr>
          <w:rFonts w:ascii="仿宋" w:hAnsi="仿宋" w:eastAsia="仿宋" w:cs="Times New Roman"/>
          <w:sz w:val="28"/>
          <w:szCs w:val="28"/>
        </w:rPr>
      </w:pPr>
      <w:r>
        <w:rPr>
          <w:rStyle w:val="16"/>
          <w:rFonts w:hint="eastAsia" w:ascii="黑体" w:hAnsi="黑体" w:eastAsia="黑体" w:cs="黑体"/>
          <w:b w:val="0"/>
          <w:bCs w:val="0"/>
        </w:rPr>
        <w:t>附表</w:t>
      </w:r>
      <w:r>
        <w:rPr>
          <w:rStyle w:val="16"/>
          <w:rFonts w:ascii="黑体" w:hAnsi="黑体" w:eastAsia="黑体" w:cs="黑体"/>
          <w:b w:val="0"/>
          <w:bCs w:val="0"/>
        </w:rPr>
        <w:t xml:space="preserve">1-2  </w:t>
      </w:r>
      <w:r>
        <w:rPr>
          <w:rStyle w:val="16"/>
          <w:rFonts w:hint="eastAsia" w:ascii="黑体" w:hAnsi="黑体" w:eastAsia="黑体" w:cs="黑体"/>
          <w:b w:val="0"/>
          <w:bCs w:val="0"/>
        </w:rPr>
        <w:t>“十四五”龙岩市稀贵金属产业重点规划项目</w:t>
      </w:r>
      <w:r>
        <w:rPr>
          <w:rStyle w:val="16"/>
          <w:rFonts w:ascii="黑体" w:hAnsi="黑体" w:eastAsia="黑体" w:cs="黑体"/>
          <w:b w:val="0"/>
          <w:bCs w:val="0"/>
        </w:rPr>
        <w:t xml:space="preserve">    </w:t>
      </w:r>
      <w:r>
        <w:rPr>
          <w:rStyle w:val="16"/>
          <w:rFonts w:hint="eastAsia" w:ascii="黑体" w:hAnsi="黑体" w:eastAsia="黑体" w:cs="黑体"/>
          <w:b w:val="0"/>
          <w:bCs w:val="0"/>
        </w:rPr>
        <w:t>单位：万元</w:t>
      </w:r>
    </w:p>
    <w:tbl>
      <w:tblPr>
        <w:tblW w:w="14021" w:type="dxa"/>
        <w:tblInd w:w="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490"/>
        <w:gridCol w:w="2515"/>
        <w:gridCol w:w="2332"/>
        <w:gridCol w:w="3476"/>
        <w:gridCol w:w="1149"/>
        <w:gridCol w:w="1059"/>
        <w:gridCol w:w="1328"/>
        <w:gridCol w:w="1672"/>
      </w:tblGrid>
      <w:tr>
        <w:trPr>
          <w:trHeight w:val="480" w:hRule="atLeast"/>
          <w:tblHeader/>
        </w:trPr>
        <w:tc>
          <w:tcPr>
            <w:tcW w:w="490"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jc w:val="center"/>
              <w:rPr>
                <w:rFonts w:ascii="宋体" w:cs="Times New Roman"/>
                <w:b/>
                <w:bCs/>
                <w:kern w:val="0"/>
                <w:sz w:val="18"/>
                <w:szCs w:val="18"/>
              </w:rPr>
            </w:pPr>
            <w:r>
              <w:rPr>
                <w:rFonts w:hint="eastAsia" w:ascii="宋体" w:hAnsi="宋体" w:cs="宋体"/>
                <w:b/>
                <w:bCs/>
                <w:kern w:val="0"/>
                <w:sz w:val="18"/>
                <w:szCs w:val="18"/>
              </w:rPr>
              <w:t>序号</w:t>
            </w:r>
          </w:p>
        </w:tc>
        <w:tc>
          <w:tcPr>
            <w:tcW w:w="2515"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jc w:val="center"/>
              <w:rPr>
                <w:rFonts w:ascii="宋体" w:cs="Times New Roman"/>
                <w:b/>
                <w:bCs/>
                <w:kern w:val="0"/>
                <w:sz w:val="18"/>
                <w:szCs w:val="18"/>
              </w:rPr>
            </w:pPr>
            <w:r>
              <w:rPr>
                <w:rFonts w:hint="eastAsia" w:ascii="宋体" w:hAnsi="宋体" w:cs="宋体"/>
                <w:b/>
                <w:bCs/>
                <w:kern w:val="0"/>
                <w:sz w:val="18"/>
                <w:szCs w:val="18"/>
              </w:rPr>
              <w:t>项目名称</w:t>
            </w:r>
          </w:p>
        </w:tc>
        <w:tc>
          <w:tcPr>
            <w:tcW w:w="2332"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jc w:val="center"/>
              <w:rPr>
                <w:rFonts w:ascii="宋体" w:cs="Times New Roman"/>
                <w:b/>
                <w:bCs/>
                <w:kern w:val="0"/>
                <w:sz w:val="18"/>
                <w:szCs w:val="18"/>
              </w:rPr>
            </w:pPr>
            <w:r>
              <w:rPr>
                <w:rFonts w:hint="eastAsia" w:ascii="宋体" w:hAnsi="宋体" w:cs="宋体"/>
                <w:b/>
                <w:bCs/>
                <w:kern w:val="0"/>
                <w:sz w:val="18"/>
                <w:szCs w:val="18"/>
              </w:rPr>
              <w:t>依托企业或招商企业名称</w:t>
            </w:r>
          </w:p>
        </w:tc>
        <w:tc>
          <w:tcPr>
            <w:tcW w:w="3476"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jc w:val="center"/>
              <w:rPr>
                <w:rFonts w:ascii="宋体" w:cs="Times New Roman"/>
                <w:b/>
                <w:bCs/>
                <w:kern w:val="0"/>
                <w:sz w:val="18"/>
                <w:szCs w:val="18"/>
              </w:rPr>
            </w:pPr>
            <w:r>
              <w:rPr>
                <w:rFonts w:hint="eastAsia" w:ascii="宋体" w:hAnsi="宋体" w:cs="宋体"/>
                <w:b/>
                <w:bCs/>
                <w:kern w:val="0"/>
                <w:sz w:val="18"/>
                <w:szCs w:val="18"/>
              </w:rPr>
              <w:t>建设内容及规模</w:t>
            </w:r>
          </w:p>
        </w:tc>
        <w:tc>
          <w:tcPr>
            <w:tcW w:w="1149"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jc w:val="center"/>
              <w:rPr>
                <w:rFonts w:ascii="宋体" w:cs="Times New Roman"/>
                <w:b/>
                <w:bCs/>
                <w:kern w:val="0"/>
                <w:sz w:val="18"/>
                <w:szCs w:val="18"/>
              </w:rPr>
            </w:pPr>
            <w:r>
              <w:rPr>
                <w:rFonts w:hint="eastAsia" w:ascii="宋体" w:hAnsi="宋体" w:cs="宋体"/>
                <w:b/>
                <w:bCs/>
                <w:kern w:val="0"/>
                <w:sz w:val="18"/>
                <w:szCs w:val="18"/>
              </w:rPr>
              <w:t>总投资</w:t>
            </w:r>
          </w:p>
        </w:tc>
        <w:tc>
          <w:tcPr>
            <w:tcW w:w="1059"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jc w:val="center"/>
              <w:rPr>
                <w:rFonts w:ascii="宋体" w:cs="Times New Roman"/>
                <w:b/>
                <w:bCs/>
                <w:kern w:val="0"/>
                <w:sz w:val="18"/>
                <w:szCs w:val="18"/>
              </w:rPr>
            </w:pPr>
            <w:r>
              <w:rPr>
                <w:rFonts w:hint="eastAsia" w:ascii="宋体" w:hAnsi="宋体" w:cs="宋体"/>
                <w:b/>
                <w:bCs/>
                <w:kern w:val="0"/>
                <w:sz w:val="18"/>
                <w:szCs w:val="18"/>
              </w:rPr>
              <w:t>达产产值</w:t>
            </w:r>
          </w:p>
        </w:tc>
        <w:tc>
          <w:tcPr>
            <w:tcW w:w="1328"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jc w:val="center"/>
              <w:rPr>
                <w:rFonts w:ascii="宋体" w:cs="Times New Roman"/>
                <w:b/>
                <w:bCs/>
                <w:kern w:val="0"/>
                <w:sz w:val="18"/>
                <w:szCs w:val="18"/>
              </w:rPr>
            </w:pPr>
            <w:r>
              <w:rPr>
                <w:rFonts w:hint="eastAsia" w:ascii="宋体" w:hAnsi="宋体" w:cs="宋体"/>
                <w:b/>
                <w:bCs/>
                <w:kern w:val="0"/>
                <w:sz w:val="18"/>
                <w:szCs w:val="18"/>
              </w:rPr>
              <w:t>所属产业链</w:t>
            </w:r>
          </w:p>
        </w:tc>
        <w:tc>
          <w:tcPr>
            <w:tcW w:w="1672"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jc w:val="center"/>
              <w:rPr>
                <w:rFonts w:ascii="宋体" w:cs="Times New Roman"/>
                <w:b/>
                <w:bCs/>
                <w:kern w:val="0"/>
                <w:sz w:val="18"/>
                <w:szCs w:val="18"/>
              </w:rPr>
            </w:pPr>
            <w:r>
              <w:rPr>
                <w:rFonts w:hint="eastAsia" w:ascii="宋体" w:hAnsi="宋体" w:cs="宋体"/>
                <w:b/>
                <w:bCs/>
                <w:kern w:val="0"/>
                <w:sz w:val="18"/>
                <w:szCs w:val="18"/>
              </w:rPr>
              <w:t>建设地</w:t>
            </w:r>
          </w:p>
        </w:tc>
      </w:tr>
      <w:tr>
        <w:trPr>
          <w:trHeight w:val="629" w:hRule="atLeast"/>
        </w:trPr>
        <w:tc>
          <w:tcPr>
            <w:tcW w:w="490"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jc w:val="center"/>
              <w:rPr>
                <w:rFonts w:ascii="宋体" w:cs="Times New Roman"/>
                <w:b/>
                <w:bCs/>
                <w:sz w:val="18"/>
                <w:szCs w:val="18"/>
              </w:rPr>
            </w:pPr>
            <w:r>
              <w:rPr>
                <w:b/>
                <w:bCs/>
                <w:sz w:val="18"/>
                <w:szCs w:val="18"/>
              </w:rPr>
              <w:t>112</w:t>
            </w:r>
          </w:p>
        </w:tc>
        <w:tc>
          <w:tcPr>
            <w:tcW w:w="2515" w:type="dxa"/>
            <w:tcBorders>
              <w:top w:val="single" w:color="auto" w:sz="4" w:space="0"/>
              <w:left w:val="nil"/>
              <w:bottom w:val="single" w:color="auto" w:sz="4" w:space="0"/>
              <w:right w:val="single" w:color="auto" w:sz="4" w:space="0"/>
            </w:tcBorders>
            <w:vAlign w:val="center"/>
          </w:tcPr>
          <w:p>
            <w:pPr>
              <w:widowControl/>
              <w:jc w:val="left"/>
              <w:rPr>
                <w:rFonts w:ascii="宋体" w:cs="Times New Roman"/>
                <w:kern w:val="0"/>
                <w:sz w:val="18"/>
                <w:szCs w:val="18"/>
              </w:rPr>
            </w:pPr>
            <w:r>
              <w:rPr>
                <w:rFonts w:hint="eastAsia" w:ascii="宋体" w:hAnsi="宋体" w:cs="宋体"/>
                <w:kern w:val="0"/>
                <w:sz w:val="18"/>
                <w:szCs w:val="18"/>
              </w:rPr>
              <w:t>黄金回收及重熔粗加工项目</w:t>
            </w:r>
          </w:p>
        </w:tc>
        <w:tc>
          <w:tcPr>
            <w:tcW w:w="2332" w:type="dxa"/>
            <w:tcBorders>
              <w:top w:val="single" w:color="auto" w:sz="4" w:space="0"/>
              <w:left w:val="nil"/>
              <w:bottom w:val="single" w:color="auto" w:sz="4" w:space="0"/>
              <w:right w:val="single" w:color="auto" w:sz="4" w:space="0"/>
            </w:tcBorders>
            <w:vAlign w:val="center"/>
          </w:tcPr>
          <w:p>
            <w:pPr>
              <w:widowControl/>
              <w:jc w:val="left"/>
              <w:rPr>
                <w:rFonts w:ascii="宋体" w:cs="Times New Roman"/>
                <w:kern w:val="0"/>
                <w:sz w:val="18"/>
                <w:szCs w:val="18"/>
              </w:rPr>
            </w:pPr>
            <w:r>
              <w:rPr>
                <w:rFonts w:hint="eastAsia" w:ascii="宋体" w:hAnsi="宋体" w:cs="宋体"/>
                <w:kern w:val="0"/>
                <w:sz w:val="18"/>
                <w:szCs w:val="18"/>
              </w:rPr>
              <w:t>深圳市久久金集团有限公司</w:t>
            </w:r>
          </w:p>
        </w:tc>
        <w:tc>
          <w:tcPr>
            <w:tcW w:w="3476" w:type="dxa"/>
            <w:tcBorders>
              <w:top w:val="single" w:color="auto" w:sz="4" w:space="0"/>
              <w:left w:val="nil"/>
              <w:bottom w:val="single" w:color="auto" w:sz="4" w:space="0"/>
              <w:right w:val="single" w:color="auto" w:sz="4" w:space="0"/>
            </w:tcBorders>
            <w:vAlign w:val="center"/>
          </w:tcPr>
          <w:p>
            <w:pPr>
              <w:widowControl/>
              <w:spacing w:line="260" w:lineRule="exact"/>
              <w:jc w:val="left"/>
              <w:rPr>
                <w:rFonts w:ascii="宋体" w:cs="Times New Roman"/>
                <w:kern w:val="0"/>
                <w:sz w:val="18"/>
                <w:szCs w:val="18"/>
              </w:rPr>
            </w:pPr>
            <w:r>
              <w:rPr>
                <w:rFonts w:hint="eastAsia" w:ascii="宋体" w:hAnsi="宋体" w:cs="宋体"/>
                <w:kern w:val="0"/>
                <w:sz w:val="18"/>
                <w:szCs w:val="18"/>
              </w:rPr>
              <w:t>项目一期拟租赁</w:t>
            </w:r>
            <w:r>
              <w:rPr>
                <w:rFonts w:ascii="宋体" w:hAnsi="宋体" w:cs="宋体"/>
                <w:kern w:val="0"/>
                <w:sz w:val="18"/>
                <w:szCs w:val="18"/>
              </w:rPr>
              <w:t>1500</w:t>
            </w:r>
            <w:r>
              <w:rPr>
                <w:rFonts w:hint="eastAsia" w:ascii="宋体" w:hAnsi="宋体" w:cs="宋体"/>
                <w:kern w:val="0"/>
                <w:sz w:val="18"/>
                <w:szCs w:val="18"/>
              </w:rPr>
              <w:t>平方米厂房，其中装修生产车间、检测室、仓库</w:t>
            </w:r>
            <w:r>
              <w:rPr>
                <w:rFonts w:ascii="宋体" w:hAnsi="宋体" w:cs="宋体"/>
                <w:kern w:val="0"/>
                <w:sz w:val="18"/>
                <w:szCs w:val="18"/>
              </w:rPr>
              <w:t>1000</w:t>
            </w:r>
            <w:r>
              <w:rPr>
                <w:rFonts w:hint="eastAsia" w:ascii="宋体" w:hAnsi="宋体" w:cs="宋体"/>
                <w:kern w:val="0"/>
                <w:sz w:val="18"/>
                <w:szCs w:val="18"/>
              </w:rPr>
              <w:t>平方米，</w:t>
            </w:r>
            <w:r>
              <w:rPr>
                <w:rFonts w:ascii="宋体" w:hAnsi="宋体" w:cs="宋体"/>
                <w:kern w:val="0"/>
                <w:sz w:val="18"/>
                <w:szCs w:val="18"/>
              </w:rPr>
              <w:t>500</w:t>
            </w:r>
            <w:r>
              <w:rPr>
                <w:rFonts w:hint="eastAsia" w:ascii="宋体" w:hAnsi="宋体" w:cs="宋体"/>
                <w:kern w:val="0"/>
                <w:sz w:val="18"/>
                <w:szCs w:val="18"/>
              </w:rPr>
              <w:t>平方米办公室。新上黄金熔炼设备、黄金检测设备及相关配套设备</w:t>
            </w:r>
            <w:r>
              <w:rPr>
                <w:rFonts w:ascii="宋体" w:hAnsi="宋体" w:cs="宋体"/>
                <w:kern w:val="0"/>
                <w:sz w:val="18"/>
                <w:szCs w:val="18"/>
              </w:rPr>
              <w:t>2</w:t>
            </w:r>
            <w:r>
              <w:rPr>
                <w:rFonts w:hint="eastAsia" w:ascii="宋体" w:hAnsi="宋体" w:cs="宋体"/>
                <w:kern w:val="0"/>
                <w:sz w:val="18"/>
                <w:szCs w:val="18"/>
              </w:rPr>
              <w:t>套。通过线上线下的方式向个人开展黄金回收，将回收的黄金重熔成合质金，再全部出售给紫金矿业黄金冶炼公司。</w:t>
            </w:r>
          </w:p>
        </w:tc>
        <w:tc>
          <w:tcPr>
            <w:tcW w:w="1149" w:type="dxa"/>
            <w:tcBorders>
              <w:top w:val="single" w:color="auto" w:sz="4" w:space="0"/>
              <w:left w:val="nil"/>
              <w:bottom w:val="single" w:color="auto" w:sz="4" w:space="0"/>
              <w:right w:val="single" w:color="auto" w:sz="4" w:space="0"/>
            </w:tcBorders>
            <w:vAlign w:val="center"/>
          </w:tcPr>
          <w:p>
            <w:pPr>
              <w:widowControl/>
              <w:jc w:val="center"/>
              <w:rPr>
                <w:rFonts w:ascii="宋体" w:cs="Times New Roman"/>
                <w:kern w:val="0"/>
                <w:sz w:val="18"/>
                <w:szCs w:val="18"/>
              </w:rPr>
            </w:pPr>
            <w:r>
              <w:rPr>
                <w:rFonts w:ascii="宋体" w:hAnsi="宋体" w:cs="宋体"/>
                <w:kern w:val="0"/>
                <w:sz w:val="18"/>
                <w:szCs w:val="18"/>
              </w:rPr>
              <w:t>6,000</w:t>
            </w:r>
          </w:p>
        </w:tc>
        <w:tc>
          <w:tcPr>
            <w:tcW w:w="1059" w:type="dxa"/>
            <w:tcBorders>
              <w:top w:val="single" w:color="auto" w:sz="4" w:space="0"/>
              <w:left w:val="nil"/>
              <w:bottom w:val="single" w:color="auto" w:sz="4" w:space="0"/>
              <w:right w:val="single" w:color="auto" w:sz="4" w:space="0"/>
            </w:tcBorders>
            <w:vAlign w:val="center"/>
          </w:tcPr>
          <w:p>
            <w:pPr>
              <w:widowControl/>
              <w:jc w:val="center"/>
              <w:rPr>
                <w:rFonts w:ascii="宋体" w:cs="Times New Roman"/>
                <w:kern w:val="0"/>
                <w:sz w:val="18"/>
                <w:szCs w:val="18"/>
              </w:rPr>
            </w:pPr>
          </w:p>
        </w:tc>
        <w:tc>
          <w:tcPr>
            <w:tcW w:w="1328" w:type="dxa"/>
            <w:tcBorders>
              <w:top w:val="single" w:color="auto" w:sz="4" w:space="0"/>
              <w:left w:val="nil"/>
              <w:bottom w:val="single" w:color="auto" w:sz="4" w:space="0"/>
              <w:right w:val="single" w:color="auto" w:sz="4" w:space="0"/>
            </w:tcBorders>
            <w:vAlign w:val="center"/>
          </w:tcPr>
          <w:p>
            <w:pPr>
              <w:widowControl/>
              <w:jc w:val="center"/>
              <w:rPr>
                <w:rFonts w:ascii="宋体" w:cs="Times New Roman"/>
                <w:kern w:val="0"/>
                <w:sz w:val="18"/>
                <w:szCs w:val="18"/>
              </w:rPr>
            </w:pPr>
            <w:r>
              <w:rPr>
                <w:rFonts w:hint="eastAsia" w:ascii="宋体" w:hAnsi="宋体" w:cs="宋体"/>
                <w:kern w:val="0"/>
                <w:sz w:val="18"/>
                <w:szCs w:val="18"/>
              </w:rPr>
              <w:t>稀贵金属回收</w:t>
            </w:r>
          </w:p>
        </w:tc>
        <w:tc>
          <w:tcPr>
            <w:tcW w:w="1672" w:type="dxa"/>
            <w:tcBorders>
              <w:top w:val="single" w:color="auto" w:sz="4" w:space="0"/>
              <w:left w:val="nil"/>
              <w:bottom w:val="single" w:color="auto" w:sz="4" w:space="0"/>
              <w:right w:val="single" w:color="auto" w:sz="4" w:space="0"/>
            </w:tcBorders>
            <w:vAlign w:val="center"/>
          </w:tcPr>
          <w:p>
            <w:pPr>
              <w:widowControl/>
              <w:jc w:val="center"/>
              <w:rPr>
                <w:rFonts w:ascii="宋体" w:cs="Times New Roman"/>
                <w:kern w:val="0"/>
                <w:sz w:val="18"/>
                <w:szCs w:val="18"/>
              </w:rPr>
            </w:pPr>
            <w:r>
              <w:rPr>
                <w:rFonts w:hint="eastAsia" w:ascii="宋体" w:hAnsi="宋体" w:cs="宋体"/>
                <w:kern w:val="0"/>
                <w:sz w:val="18"/>
                <w:szCs w:val="18"/>
              </w:rPr>
              <w:t>上杭县蛟洋工业园</w:t>
            </w:r>
          </w:p>
        </w:tc>
      </w:tr>
      <w:tr>
        <w:trPr>
          <w:trHeight w:val="765" w:hRule="atLeast"/>
        </w:trPr>
        <w:tc>
          <w:tcPr>
            <w:tcW w:w="490" w:type="dxa"/>
            <w:tcBorders>
              <w:top w:val="nil"/>
              <w:left w:val="single" w:color="auto" w:sz="4" w:space="0"/>
              <w:bottom w:val="single" w:color="auto" w:sz="4" w:space="0"/>
              <w:right w:val="single" w:color="auto" w:sz="4" w:space="0"/>
            </w:tcBorders>
            <w:shd w:val="clear" w:color="auto" w:fill="D9D9D9"/>
            <w:vAlign w:val="center"/>
          </w:tcPr>
          <w:p>
            <w:pPr>
              <w:jc w:val="center"/>
              <w:rPr>
                <w:b/>
                <w:bCs/>
                <w:sz w:val="18"/>
                <w:szCs w:val="18"/>
              </w:rPr>
            </w:pPr>
            <w:r>
              <w:rPr>
                <w:b/>
                <w:bCs/>
                <w:sz w:val="18"/>
                <w:szCs w:val="18"/>
              </w:rPr>
              <w:t>113</w:t>
            </w:r>
          </w:p>
        </w:tc>
        <w:tc>
          <w:tcPr>
            <w:tcW w:w="2515" w:type="dxa"/>
            <w:tcBorders>
              <w:top w:val="nil"/>
              <w:left w:val="nil"/>
              <w:bottom w:val="single" w:color="auto" w:sz="4" w:space="0"/>
              <w:right w:val="single" w:color="auto" w:sz="4" w:space="0"/>
            </w:tcBorders>
            <w:vAlign w:val="center"/>
          </w:tcPr>
          <w:p>
            <w:pPr>
              <w:widowControl/>
              <w:jc w:val="left"/>
              <w:rPr>
                <w:rFonts w:ascii="宋体" w:cs="Times New Roman"/>
                <w:kern w:val="0"/>
                <w:sz w:val="18"/>
                <w:szCs w:val="18"/>
              </w:rPr>
            </w:pPr>
            <w:r>
              <w:rPr>
                <w:rFonts w:hint="eastAsia" w:ascii="宋体" w:hAnsi="宋体" w:cs="宋体"/>
                <w:kern w:val="0"/>
                <w:sz w:val="18"/>
                <w:szCs w:val="18"/>
              </w:rPr>
              <w:t>键合金丝、金靶材、蒸发金、金银基钎焊料生产项目</w:t>
            </w:r>
          </w:p>
        </w:tc>
        <w:tc>
          <w:tcPr>
            <w:tcW w:w="2332" w:type="dxa"/>
            <w:tcBorders>
              <w:top w:val="nil"/>
              <w:left w:val="nil"/>
              <w:bottom w:val="single" w:color="auto" w:sz="4" w:space="0"/>
              <w:right w:val="single" w:color="auto" w:sz="4" w:space="0"/>
            </w:tcBorders>
            <w:vAlign w:val="center"/>
          </w:tcPr>
          <w:p>
            <w:pPr>
              <w:widowControl/>
              <w:spacing w:line="260" w:lineRule="exact"/>
              <w:jc w:val="left"/>
              <w:rPr>
                <w:rFonts w:ascii="宋体" w:cs="Times New Roman"/>
                <w:kern w:val="0"/>
                <w:sz w:val="18"/>
                <w:szCs w:val="18"/>
              </w:rPr>
            </w:pPr>
            <w:r>
              <w:rPr>
                <w:rFonts w:hint="eastAsia" w:ascii="宋体" w:hAnsi="宋体" w:cs="宋体"/>
                <w:kern w:val="0"/>
                <w:sz w:val="18"/>
                <w:szCs w:val="18"/>
              </w:rPr>
              <w:t>上杭县紫金佳博电子新材料科技有限公司（或招商引资）</w:t>
            </w:r>
          </w:p>
        </w:tc>
        <w:tc>
          <w:tcPr>
            <w:tcW w:w="3476" w:type="dxa"/>
            <w:tcBorders>
              <w:top w:val="nil"/>
              <w:left w:val="nil"/>
              <w:bottom w:val="single" w:color="auto" w:sz="4" w:space="0"/>
              <w:right w:val="single" w:color="auto" w:sz="4" w:space="0"/>
            </w:tcBorders>
            <w:vAlign w:val="center"/>
          </w:tcPr>
          <w:p>
            <w:pPr>
              <w:widowControl/>
              <w:jc w:val="left"/>
              <w:rPr>
                <w:rFonts w:ascii="宋体" w:cs="Times New Roman"/>
                <w:kern w:val="0"/>
                <w:sz w:val="18"/>
                <w:szCs w:val="18"/>
              </w:rPr>
            </w:pPr>
            <w:r>
              <w:rPr>
                <w:rFonts w:hint="eastAsia" w:ascii="宋体" w:hAnsi="宋体" w:cs="宋体"/>
                <w:kern w:val="0"/>
                <w:sz w:val="18"/>
                <w:szCs w:val="18"/>
              </w:rPr>
              <w:t>年产键合金丝年产</w:t>
            </w:r>
            <w:r>
              <w:rPr>
                <w:rFonts w:ascii="宋体" w:hAnsi="宋体" w:cs="宋体"/>
                <w:kern w:val="0"/>
                <w:sz w:val="18"/>
                <w:szCs w:val="18"/>
              </w:rPr>
              <w:t>10</w:t>
            </w:r>
            <w:r>
              <w:rPr>
                <w:rFonts w:hint="eastAsia" w:ascii="宋体" w:hAnsi="宋体" w:cs="宋体"/>
                <w:kern w:val="0"/>
                <w:sz w:val="18"/>
                <w:szCs w:val="18"/>
              </w:rPr>
              <w:t>吨；年产金靶材、蒸发金</w:t>
            </w:r>
            <w:r>
              <w:rPr>
                <w:rFonts w:ascii="宋体" w:hAnsi="宋体" w:cs="宋体"/>
                <w:kern w:val="0"/>
                <w:sz w:val="18"/>
                <w:szCs w:val="18"/>
              </w:rPr>
              <w:t>5</w:t>
            </w:r>
            <w:r>
              <w:rPr>
                <w:rFonts w:hint="eastAsia" w:ascii="宋体" w:hAnsi="宋体" w:cs="宋体"/>
                <w:kern w:val="0"/>
                <w:sz w:val="18"/>
                <w:szCs w:val="18"/>
              </w:rPr>
              <w:t>吨；金银基钎焊料项目等。</w:t>
            </w:r>
          </w:p>
        </w:tc>
        <w:tc>
          <w:tcPr>
            <w:tcW w:w="1149" w:type="dxa"/>
            <w:tcBorders>
              <w:top w:val="nil"/>
              <w:left w:val="nil"/>
              <w:bottom w:val="single" w:color="auto" w:sz="4" w:space="0"/>
              <w:right w:val="single" w:color="auto" w:sz="4" w:space="0"/>
            </w:tcBorders>
            <w:vAlign w:val="center"/>
          </w:tcPr>
          <w:p>
            <w:pPr>
              <w:widowControl/>
              <w:jc w:val="center"/>
              <w:rPr>
                <w:rFonts w:ascii="宋体" w:cs="Times New Roman"/>
                <w:kern w:val="0"/>
                <w:sz w:val="18"/>
                <w:szCs w:val="18"/>
              </w:rPr>
            </w:pPr>
            <w:r>
              <w:rPr>
                <w:rFonts w:ascii="宋体" w:hAnsi="宋体" w:cs="宋体"/>
                <w:kern w:val="0"/>
                <w:sz w:val="18"/>
                <w:szCs w:val="18"/>
              </w:rPr>
              <w:t>30,000</w:t>
            </w:r>
          </w:p>
        </w:tc>
        <w:tc>
          <w:tcPr>
            <w:tcW w:w="1059" w:type="dxa"/>
            <w:tcBorders>
              <w:top w:val="nil"/>
              <w:left w:val="nil"/>
              <w:bottom w:val="single" w:color="auto" w:sz="4" w:space="0"/>
              <w:right w:val="single" w:color="auto" w:sz="4" w:space="0"/>
            </w:tcBorders>
            <w:vAlign w:val="center"/>
          </w:tcPr>
          <w:p>
            <w:pPr>
              <w:widowControl/>
              <w:jc w:val="center"/>
              <w:rPr>
                <w:rFonts w:ascii="宋体" w:cs="Times New Roman"/>
                <w:kern w:val="0"/>
                <w:sz w:val="18"/>
                <w:szCs w:val="18"/>
              </w:rPr>
            </w:pPr>
            <w:r>
              <w:rPr>
                <w:rFonts w:ascii="宋体" w:hAnsi="宋体" w:cs="宋体"/>
                <w:kern w:val="0"/>
                <w:sz w:val="18"/>
                <w:szCs w:val="18"/>
              </w:rPr>
              <w:t>150,000</w:t>
            </w:r>
          </w:p>
        </w:tc>
        <w:tc>
          <w:tcPr>
            <w:tcW w:w="1328" w:type="dxa"/>
            <w:tcBorders>
              <w:top w:val="nil"/>
              <w:left w:val="nil"/>
              <w:bottom w:val="single" w:color="auto" w:sz="4" w:space="0"/>
              <w:right w:val="single" w:color="auto" w:sz="4" w:space="0"/>
            </w:tcBorders>
            <w:vAlign w:val="center"/>
          </w:tcPr>
          <w:p>
            <w:pPr>
              <w:widowControl/>
              <w:jc w:val="center"/>
              <w:rPr>
                <w:rFonts w:ascii="宋体" w:cs="Times New Roman"/>
                <w:kern w:val="0"/>
                <w:sz w:val="18"/>
                <w:szCs w:val="18"/>
              </w:rPr>
            </w:pPr>
            <w:r>
              <w:rPr>
                <w:rFonts w:hint="eastAsia" w:ascii="宋体" w:hAnsi="宋体" w:cs="宋体"/>
                <w:kern w:val="0"/>
                <w:sz w:val="18"/>
                <w:szCs w:val="18"/>
              </w:rPr>
              <w:t>稀贵金属</w:t>
            </w:r>
            <w:r>
              <w:rPr>
                <w:rFonts w:ascii="宋体" w:hAnsi="宋体" w:cs="宋体"/>
                <w:kern w:val="0"/>
                <w:sz w:val="18"/>
                <w:szCs w:val="18"/>
              </w:rPr>
              <w:t>/</w:t>
            </w:r>
            <w:r>
              <w:rPr>
                <w:rFonts w:hint="eastAsia" w:ascii="宋体" w:hAnsi="宋体" w:cs="宋体"/>
                <w:kern w:val="0"/>
                <w:sz w:val="18"/>
                <w:szCs w:val="18"/>
              </w:rPr>
              <w:t>电子信息</w:t>
            </w:r>
          </w:p>
        </w:tc>
        <w:tc>
          <w:tcPr>
            <w:tcW w:w="1672" w:type="dxa"/>
            <w:tcBorders>
              <w:top w:val="nil"/>
              <w:left w:val="nil"/>
              <w:bottom w:val="single" w:color="auto" w:sz="4" w:space="0"/>
              <w:right w:val="single" w:color="auto" w:sz="4" w:space="0"/>
            </w:tcBorders>
            <w:vAlign w:val="center"/>
          </w:tcPr>
          <w:p>
            <w:pPr>
              <w:jc w:val="center"/>
              <w:rPr>
                <w:rFonts w:cs="Times New Roman"/>
              </w:rPr>
            </w:pPr>
            <w:r>
              <w:rPr>
                <w:rFonts w:hint="eastAsia" w:ascii="宋体" w:hAnsi="宋体" w:cs="宋体"/>
                <w:kern w:val="0"/>
                <w:sz w:val="18"/>
                <w:szCs w:val="18"/>
              </w:rPr>
              <w:t>上杭县工业园</w:t>
            </w:r>
          </w:p>
        </w:tc>
      </w:tr>
      <w:tr>
        <w:trPr>
          <w:trHeight w:val="765" w:hRule="atLeast"/>
        </w:trPr>
        <w:tc>
          <w:tcPr>
            <w:tcW w:w="490" w:type="dxa"/>
            <w:tcBorders>
              <w:top w:val="nil"/>
              <w:left w:val="single" w:color="auto" w:sz="4" w:space="0"/>
              <w:bottom w:val="single" w:color="auto" w:sz="4" w:space="0"/>
              <w:right w:val="single" w:color="auto" w:sz="4" w:space="0"/>
            </w:tcBorders>
            <w:shd w:val="clear" w:color="auto" w:fill="D9D9D9"/>
            <w:vAlign w:val="center"/>
          </w:tcPr>
          <w:p>
            <w:pPr>
              <w:jc w:val="center"/>
              <w:rPr>
                <w:b/>
                <w:bCs/>
                <w:sz w:val="18"/>
                <w:szCs w:val="18"/>
              </w:rPr>
            </w:pPr>
            <w:r>
              <w:rPr>
                <w:b/>
                <w:bCs/>
                <w:sz w:val="18"/>
                <w:szCs w:val="18"/>
              </w:rPr>
              <w:t>114</w:t>
            </w:r>
          </w:p>
        </w:tc>
        <w:tc>
          <w:tcPr>
            <w:tcW w:w="2515" w:type="dxa"/>
            <w:tcBorders>
              <w:top w:val="nil"/>
              <w:left w:val="nil"/>
              <w:bottom w:val="single" w:color="auto" w:sz="4" w:space="0"/>
              <w:right w:val="single" w:color="auto" w:sz="4" w:space="0"/>
            </w:tcBorders>
            <w:vAlign w:val="center"/>
          </w:tcPr>
          <w:p>
            <w:pPr>
              <w:widowControl/>
              <w:jc w:val="left"/>
              <w:rPr>
                <w:rFonts w:ascii="宋体" w:cs="Times New Roman"/>
                <w:kern w:val="0"/>
                <w:sz w:val="18"/>
                <w:szCs w:val="18"/>
              </w:rPr>
            </w:pPr>
            <w:r>
              <w:rPr>
                <w:rFonts w:hint="eastAsia" w:ascii="宋体" w:hAnsi="宋体" w:cs="宋体"/>
                <w:kern w:val="0"/>
                <w:sz w:val="18"/>
                <w:szCs w:val="18"/>
              </w:rPr>
              <w:t>纳米金、纳米银生产项目</w:t>
            </w:r>
          </w:p>
        </w:tc>
        <w:tc>
          <w:tcPr>
            <w:tcW w:w="2332" w:type="dxa"/>
            <w:tcBorders>
              <w:top w:val="nil"/>
              <w:left w:val="nil"/>
              <w:bottom w:val="single" w:color="auto" w:sz="4" w:space="0"/>
              <w:right w:val="single" w:color="auto" w:sz="4" w:space="0"/>
            </w:tcBorders>
            <w:vAlign w:val="center"/>
          </w:tcPr>
          <w:p>
            <w:pPr>
              <w:widowControl/>
              <w:jc w:val="left"/>
              <w:rPr>
                <w:rFonts w:ascii="宋体" w:cs="Times New Roman"/>
                <w:kern w:val="0"/>
                <w:sz w:val="18"/>
                <w:szCs w:val="18"/>
              </w:rPr>
            </w:pPr>
            <w:r>
              <w:rPr>
                <w:rFonts w:hint="eastAsia" w:ascii="宋体" w:hAnsi="宋体" w:cs="宋体"/>
                <w:kern w:val="0"/>
                <w:sz w:val="18"/>
                <w:szCs w:val="18"/>
              </w:rPr>
              <w:t>招商引资</w:t>
            </w:r>
          </w:p>
        </w:tc>
        <w:tc>
          <w:tcPr>
            <w:tcW w:w="3476" w:type="dxa"/>
            <w:tcBorders>
              <w:top w:val="nil"/>
              <w:left w:val="nil"/>
              <w:bottom w:val="single" w:color="auto" w:sz="4" w:space="0"/>
              <w:right w:val="single" w:color="auto" w:sz="4" w:space="0"/>
            </w:tcBorders>
            <w:vAlign w:val="center"/>
          </w:tcPr>
          <w:p>
            <w:pPr>
              <w:widowControl/>
              <w:jc w:val="left"/>
              <w:rPr>
                <w:rFonts w:ascii="宋体" w:cs="Times New Roman"/>
                <w:kern w:val="0"/>
                <w:sz w:val="18"/>
                <w:szCs w:val="18"/>
              </w:rPr>
            </w:pPr>
            <w:r>
              <w:rPr>
                <w:rFonts w:hint="eastAsia" w:ascii="宋体" w:hAnsi="宋体" w:cs="宋体"/>
                <w:kern w:val="0"/>
                <w:sz w:val="18"/>
                <w:szCs w:val="18"/>
              </w:rPr>
              <w:t>建设年产纳米银墨水、纳米金催化剂等</w:t>
            </w:r>
            <w:r>
              <w:rPr>
                <w:rFonts w:ascii="宋体" w:hAnsi="宋体" w:cs="宋体"/>
                <w:kern w:val="0"/>
                <w:sz w:val="18"/>
                <w:szCs w:val="18"/>
              </w:rPr>
              <w:t>50</w:t>
            </w:r>
            <w:r>
              <w:rPr>
                <w:rFonts w:hint="eastAsia" w:ascii="宋体" w:hAnsi="宋体" w:cs="宋体"/>
                <w:kern w:val="0"/>
                <w:sz w:val="18"/>
                <w:szCs w:val="18"/>
              </w:rPr>
              <w:t>吨。</w:t>
            </w:r>
          </w:p>
        </w:tc>
        <w:tc>
          <w:tcPr>
            <w:tcW w:w="1149" w:type="dxa"/>
            <w:tcBorders>
              <w:top w:val="nil"/>
              <w:left w:val="nil"/>
              <w:bottom w:val="single" w:color="auto" w:sz="4" w:space="0"/>
              <w:right w:val="single" w:color="auto" w:sz="4" w:space="0"/>
            </w:tcBorders>
            <w:vAlign w:val="center"/>
          </w:tcPr>
          <w:p>
            <w:pPr>
              <w:widowControl/>
              <w:jc w:val="center"/>
              <w:rPr>
                <w:rFonts w:ascii="宋体" w:cs="Times New Roman"/>
                <w:kern w:val="0"/>
                <w:sz w:val="18"/>
                <w:szCs w:val="18"/>
              </w:rPr>
            </w:pPr>
            <w:r>
              <w:rPr>
                <w:rFonts w:ascii="宋体" w:hAnsi="宋体" w:cs="宋体"/>
                <w:kern w:val="0"/>
                <w:sz w:val="18"/>
                <w:szCs w:val="18"/>
              </w:rPr>
              <w:t>20,000</w:t>
            </w:r>
          </w:p>
        </w:tc>
        <w:tc>
          <w:tcPr>
            <w:tcW w:w="1059" w:type="dxa"/>
            <w:tcBorders>
              <w:top w:val="nil"/>
              <w:left w:val="nil"/>
              <w:bottom w:val="single" w:color="auto" w:sz="4" w:space="0"/>
              <w:right w:val="single" w:color="auto" w:sz="4" w:space="0"/>
            </w:tcBorders>
            <w:vAlign w:val="center"/>
          </w:tcPr>
          <w:p>
            <w:pPr>
              <w:widowControl/>
              <w:jc w:val="center"/>
              <w:rPr>
                <w:rFonts w:ascii="宋体" w:cs="Times New Roman"/>
                <w:kern w:val="0"/>
                <w:sz w:val="18"/>
                <w:szCs w:val="18"/>
              </w:rPr>
            </w:pPr>
            <w:r>
              <w:rPr>
                <w:rFonts w:ascii="宋体" w:hAnsi="宋体" w:cs="宋体"/>
                <w:kern w:val="0"/>
                <w:sz w:val="18"/>
                <w:szCs w:val="18"/>
              </w:rPr>
              <w:t>50,000</w:t>
            </w:r>
          </w:p>
        </w:tc>
        <w:tc>
          <w:tcPr>
            <w:tcW w:w="1328" w:type="dxa"/>
            <w:tcBorders>
              <w:top w:val="nil"/>
              <w:left w:val="nil"/>
              <w:bottom w:val="single" w:color="auto" w:sz="4" w:space="0"/>
              <w:right w:val="single" w:color="auto" w:sz="4" w:space="0"/>
            </w:tcBorders>
            <w:vAlign w:val="center"/>
          </w:tcPr>
          <w:p>
            <w:pPr>
              <w:widowControl/>
              <w:jc w:val="center"/>
              <w:rPr>
                <w:rFonts w:ascii="宋体" w:cs="Times New Roman"/>
                <w:kern w:val="0"/>
                <w:sz w:val="18"/>
                <w:szCs w:val="18"/>
              </w:rPr>
            </w:pPr>
            <w:r>
              <w:rPr>
                <w:rFonts w:hint="eastAsia" w:ascii="宋体" w:hAnsi="宋体" w:cs="宋体"/>
                <w:kern w:val="0"/>
                <w:sz w:val="18"/>
                <w:szCs w:val="18"/>
              </w:rPr>
              <w:t>稀贵金属</w:t>
            </w:r>
            <w:r>
              <w:rPr>
                <w:rFonts w:ascii="宋体" w:hAnsi="宋体" w:cs="宋体"/>
                <w:kern w:val="0"/>
                <w:sz w:val="18"/>
                <w:szCs w:val="18"/>
              </w:rPr>
              <w:t>/</w:t>
            </w:r>
            <w:r>
              <w:rPr>
                <w:rFonts w:hint="eastAsia" w:ascii="宋体" w:hAnsi="宋体" w:cs="宋体"/>
                <w:kern w:val="0"/>
                <w:sz w:val="18"/>
                <w:szCs w:val="18"/>
              </w:rPr>
              <w:t>电子信息</w:t>
            </w:r>
          </w:p>
        </w:tc>
        <w:tc>
          <w:tcPr>
            <w:tcW w:w="1672" w:type="dxa"/>
            <w:tcBorders>
              <w:top w:val="nil"/>
              <w:left w:val="nil"/>
              <w:bottom w:val="single" w:color="auto" w:sz="4" w:space="0"/>
              <w:right w:val="single" w:color="auto" w:sz="4" w:space="0"/>
            </w:tcBorders>
            <w:vAlign w:val="center"/>
          </w:tcPr>
          <w:p>
            <w:pPr>
              <w:widowControl/>
              <w:jc w:val="center"/>
              <w:rPr>
                <w:rFonts w:ascii="宋体" w:cs="Times New Roman"/>
                <w:kern w:val="0"/>
                <w:sz w:val="18"/>
                <w:szCs w:val="18"/>
              </w:rPr>
            </w:pPr>
            <w:r>
              <w:rPr>
                <w:rFonts w:hint="eastAsia" w:ascii="宋体" w:hAnsi="宋体" w:cs="宋体"/>
                <w:kern w:val="0"/>
                <w:sz w:val="18"/>
                <w:szCs w:val="18"/>
              </w:rPr>
              <w:t>上杭县蛟洋工业园</w:t>
            </w:r>
          </w:p>
        </w:tc>
      </w:tr>
      <w:tr>
        <w:trPr>
          <w:trHeight w:val="960" w:hRule="atLeast"/>
        </w:trPr>
        <w:tc>
          <w:tcPr>
            <w:tcW w:w="490" w:type="dxa"/>
            <w:tcBorders>
              <w:top w:val="nil"/>
              <w:left w:val="single" w:color="auto" w:sz="4" w:space="0"/>
              <w:bottom w:val="single" w:color="auto" w:sz="4" w:space="0"/>
              <w:right w:val="single" w:color="auto" w:sz="4" w:space="0"/>
            </w:tcBorders>
            <w:shd w:val="clear" w:color="auto" w:fill="D9D9D9"/>
            <w:vAlign w:val="center"/>
          </w:tcPr>
          <w:p>
            <w:pPr>
              <w:jc w:val="center"/>
              <w:rPr>
                <w:b/>
                <w:bCs/>
                <w:sz w:val="18"/>
                <w:szCs w:val="18"/>
              </w:rPr>
            </w:pPr>
            <w:r>
              <w:rPr>
                <w:b/>
                <w:bCs/>
                <w:sz w:val="18"/>
                <w:szCs w:val="18"/>
              </w:rPr>
              <w:t>115</w:t>
            </w:r>
          </w:p>
        </w:tc>
        <w:tc>
          <w:tcPr>
            <w:tcW w:w="2515" w:type="dxa"/>
            <w:tcBorders>
              <w:top w:val="nil"/>
              <w:left w:val="nil"/>
              <w:bottom w:val="single" w:color="auto" w:sz="4" w:space="0"/>
              <w:right w:val="single" w:color="auto" w:sz="4" w:space="0"/>
            </w:tcBorders>
            <w:vAlign w:val="center"/>
          </w:tcPr>
          <w:p>
            <w:pPr>
              <w:widowControl/>
              <w:jc w:val="left"/>
              <w:rPr>
                <w:rFonts w:ascii="宋体" w:cs="Times New Roman"/>
                <w:kern w:val="0"/>
                <w:sz w:val="18"/>
                <w:szCs w:val="18"/>
              </w:rPr>
            </w:pPr>
            <w:r>
              <w:rPr>
                <w:rFonts w:hint="eastAsia" w:ascii="宋体" w:hAnsi="宋体" w:cs="宋体"/>
                <w:kern w:val="0"/>
                <w:sz w:val="18"/>
                <w:szCs w:val="18"/>
              </w:rPr>
              <w:t>电子工业用银浆（电子、光伏、</w:t>
            </w:r>
            <w:r>
              <w:rPr>
                <w:kern w:val="0"/>
                <w:sz w:val="18"/>
                <w:szCs w:val="18"/>
              </w:rPr>
              <w:t>5G</w:t>
            </w:r>
            <w:r>
              <w:rPr>
                <w:rFonts w:hint="eastAsia" w:ascii="宋体" w:hAnsi="宋体" w:cs="宋体"/>
                <w:kern w:val="0"/>
                <w:sz w:val="18"/>
                <w:szCs w:val="18"/>
              </w:rPr>
              <w:t>等）生产项目</w:t>
            </w:r>
          </w:p>
        </w:tc>
        <w:tc>
          <w:tcPr>
            <w:tcW w:w="2332" w:type="dxa"/>
            <w:tcBorders>
              <w:top w:val="nil"/>
              <w:left w:val="nil"/>
              <w:bottom w:val="single" w:color="auto" w:sz="4" w:space="0"/>
              <w:right w:val="single" w:color="auto" w:sz="4" w:space="0"/>
            </w:tcBorders>
            <w:vAlign w:val="center"/>
          </w:tcPr>
          <w:p>
            <w:pPr>
              <w:widowControl/>
              <w:spacing w:line="260" w:lineRule="exact"/>
              <w:jc w:val="left"/>
              <w:rPr>
                <w:rFonts w:ascii="宋体" w:cs="Times New Roman"/>
                <w:kern w:val="0"/>
                <w:sz w:val="18"/>
                <w:szCs w:val="18"/>
              </w:rPr>
            </w:pPr>
            <w:r>
              <w:rPr>
                <w:rFonts w:hint="eastAsia" w:ascii="宋体" w:hAnsi="宋体" w:cs="宋体"/>
                <w:kern w:val="0"/>
                <w:sz w:val="18"/>
                <w:szCs w:val="18"/>
              </w:rPr>
              <w:t>无锡帝科电子材料科技有限公司、深圳首骋新材料科技有限公司、北京中科钠通电子技术有限公司</w:t>
            </w:r>
          </w:p>
        </w:tc>
        <w:tc>
          <w:tcPr>
            <w:tcW w:w="3476" w:type="dxa"/>
            <w:tcBorders>
              <w:top w:val="nil"/>
              <w:left w:val="nil"/>
              <w:bottom w:val="single" w:color="auto" w:sz="4" w:space="0"/>
              <w:right w:val="single" w:color="auto" w:sz="4" w:space="0"/>
            </w:tcBorders>
            <w:vAlign w:val="center"/>
          </w:tcPr>
          <w:p>
            <w:pPr>
              <w:widowControl/>
              <w:jc w:val="left"/>
              <w:rPr>
                <w:rFonts w:cs="Times New Roman"/>
                <w:kern w:val="0"/>
                <w:sz w:val="18"/>
                <w:szCs w:val="18"/>
              </w:rPr>
            </w:pPr>
            <w:r>
              <w:rPr>
                <w:rFonts w:hint="eastAsia" w:ascii="宋体" w:hAnsi="宋体" w:cs="宋体"/>
                <w:kern w:val="0"/>
                <w:sz w:val="18"/>
                <w:szCs w:val="18"/>
              </w:rPr>
              <w:t>引进先进银浆生产线，达产后年产</w:t>
            </w:r>
            <w:r>
              <w:rPr>
                <w:kern w:val="0"/>
                <w:sz w:val="18"/>
                <w:szCs w:val="18"/>
              </w:rPr>
              <w:t>200</w:t>
            </w:r>
            <w:r>
              <w:rPr>
                <w:rFonts w:hint="eastAsia" w:ascii="宋体" w:hAnsi="宋体" w:cs="宋体"/>
                <w:kern w:val="0"/>
                <w:sz w:val="18"/>
                <w:szCs w:val="18"/>
              </w:rPr>
              <w:t>吨银浆</w:t>
            </w:r>
          </w:p>
        </w:tc>
        <w:tc>
          <w:tcPr>
            <w:tcW w:w="1149" w:type="dxa"/>
            <w:tcBorders>
              <w:top w:val="nil"/>
              <w:left w:val="nil"/>
              <w:bottom w:val="single" w:color="auto" w:sz="4" w:space="0"/>
              <w:right w:val="single" w:color="auto" w:sz="4" w:space="0"/>
            </w:tcBorders>
            <w:vAlign w:val="center"/>
          </w:tcPr>
          <w:p>
            <w:pPr>
              <w:widowControl/>
              <w:jc w:val="center"/>
              <w:rPr>
                <w:rFonts w:ascii="宋体" w:cs="Times New Roman"/>
                <w:kern w:val="0"/>
                <w:sz w:val="18"/>
                <w:szCs w:val="18"/>
              </w:rPr>
            </w:pPr>
            <w:r>
              <w:rPr>
                <w:rFonts w:ascii="宋体" w:hAnsi="宋体" w:cs="宋体"/>
                <w:kern w:val="0"/>
                <w:sz w:val="18"/>
                <w:szCs w:val="18"/>
              </w:rPr>
              <w:t>9,000</w:t>
            </w:r>
          </w:p>
        </w:tc>
        <w:tc>
          <w:tcPr>
            <w:tcW w:w="1059" w:type="dxa"/>
            <w:tcBorders>
              <w:top w:val="nil"/>
              <w:left w:val="nil"/>
              <w:bottom w:val="single" w:color="auto" w:sz="4" w:space="0"/>
              <w:right w:val="single" w:color="auto" w:sz="4" w:space="0"/>
            </w:tcBorders>
            <w:vAlign w:val="center"/>
          </w:tcPr>
          <w:p>
            <w:pPr>
              <w:widowControl/>
              <w:jc w:val="center"/>
              <w:rPr>
                <w:rFonts w:ascii="宋体" w:cs="Times New Roman"/>
                <w:kern w:val="0"/>
                <w:sz w:val="18"/>
                <w:szCs w:val="18"/>
              </w:rPr>
            </w:pPr>
            <w:r>
              <w:rPr>
                <w:rFonts w:ascii="宋体" w:hAnsi="宋体" w:cs="宋体"/>
                <w:kern w:val="0"/>
                <w:sz w:val="18"/>
                <w:szCs w:val="18"/>
              </w:rPr>
              <w:t>84,000</w:t>
            </w:r>
          </w:p>
        </w:tc>
        <w:tc>
          <w:tcPr>
            <w:tcW w:w="1328" w:type="dxa"/>
            <w:tcBorders>
              <w:top w:val="nil"/>
              <w:left w:val="nil"/>
              <w:bottom w:val="single" w:color="auto" w:sz="4" w:space="0"/>
              <w:right w:val="single" w:color="auto" w:sz="4" w:space="0"/>
            </w:tcBorders>
            <w:vAlign w:val="center"/>
          </w:tcPr>
          <w:p>
            <w:pPr>
              <w:widowControl/>
              <w:jc w:val="center"/>
              <w:rPr>
                <w:rFonts w:ascii="宋体" w:cs="Times New Roman"/>
                <w:kern w:val="0"/>
                <w:sz w:val="18"/>
                <w:szCs w:val="18"/>
              </w:rPr>
            </w:pPr>
            <w:r>
              <w:rPr>
                <w:rFonts w:hint="eastAsia" w:ascii="宋体" w:hAnsi="宋体" w:cs="宋体"/>
                <w:kern w:val="0"/>
                <w:sz w:val="18"/>
                <w:szCs w:val="18"/>
              </w:rPr>
              <w:t>稀贵金属</w:t>
            </w:r>
            <w:r>
              <w:rPr>
                <w:rFonts w:ascii="宋体" w:hAnsi="宋体" w:cs="宋体"/>
                <w:kern w:val="0"/>
                <w:sz w:val="18"/>
                <w:szCs w:val="18"/>
              </w:rPr>
              <w:t>/</w:t>
            </w:r>
            <w:r>
              <w:rPr>
                <w:rFonts w:hint="eastAsia" w:ascii="宋体" w:hAnsi="宋体" w:cs="宋体"/>
                <w:kern w:val="0"/>
                <w:sz w:val="18"/>
                <w:szCs w:val="18"/>
              </w:rPr>
              <w:t>电子信息</w:t>
            </w:r>
          </w:p>
        </w:tc>
        <w:tc>
          <w:tcPr>
            <w:tcW w:w="1672" w:type="dxa"/>
            <w:tcBorders>
              <w:top w:val="nil"/>
              <w:left w:val="nil"/>
              <w:bottom w:val="single" w:color="auto" w:sz="4" w:space="0"/>
              <w:right w:val="single" w:color="auto" w:sz="4" w:space="0"/>
            </w:tcBorders>
            <w:vAlign w:val="center"/>
          </w:tcPr>
          <w:p>
            <w:pPr>
              <w:widowControl/>
              <w:jc w:val="center"/>
              <w:rPr>
                <w:rFonts w:ascii="宋体" w:cs="Times New Roman"/>
                <w:kern w:val="0"/>
                <w:sz w:val="18"/>
                <w:szCs w:val="18"/>
              </w:rPr>
            </w:pPr>
            <w:r>
              <w:rPr>
                <w:rFonts w:hint="eastAsia" w:ascii="宋体" w:hAnsi="宋体" w:cs="宋体"/>
                <w:kern w:val="0"/>
                <w:sz w:val="18"/>
                <w:szCs w:val="18"/>
              </w:rPr>
              <w:t>上杭县蛟洋工业园</w:t>
            </w:r>
          </w:p>
        </w:tc>
      </w:tr>
      <w:tr>
        <w:trPr>
          <w:trHeight w:val="480" w:hRule="atLeast"/>
        </w:trPr>
        <w:tc>
          <w:tcPr>
            <w:tcW w:w="490" w:type="dxa"/>
            <w:tcBorders>
              <w:top w:val="nil"/>
              <w:left w:val="single" w:color="auto" w:sz="4" w:space="0"/>
              <w:bottom w:val="single" w:color="auto" w:sz="4" w:space="0"/>
              <w:right w:val="single" w:color="auto" w:sz="4" w:space="0"/>
            </w:tcBorders>
            <w:shd w:val="clear" w:color="auto" w:fill="D9D9D9"/>
            <w:vAlign w:val="center"/>
          </w:tcPr>
          <w:p>
            <w:pPr>
              <w:jc w:val="center"/>
              <w:rPr>
                <w:b/>
                <w:bCs/>
                <w:sz w:val="18"/>
                <w:szCs w:val="18"/>
              </w:rPr>
            </w:pPr>
            <w:r>
              <w:rPr>
                <w:b/>
                <w:bCs/>
                <w:sz w:val="18"/>
                <w:szCs w:val="18"/>
              </w:rPr>
              <w:t>116</w:t>
            </w:r>
          </w:p>
        </w:tc>
        <w:tc>
          <w:tcPr>
            <w:tcW w:w="2515" w:type="dxa"/>
            <w:tcBorders>
              <w:top w:val="nil"/>
              <w:left w:val="nil"/>
              <w:bottom w:val="single" w:color="auto" w:sz="4" w:space="0"/>
              <w:right w:val="single" w:color="auto" w:sz="4" w:space="0"/>
            </w:tcBorders>
            <w:vAlign w:val="center"/>
          </w:tcPr>
          <w:p>
            <w:pPr>
              <w:widowControl/>
              <w:jc w:val="left"/>
              <w:rPr>
                <w:rFonts w:ascii="宋体" w:cs="Times New Roman"/>
                <w:kern w:val="0"/>
                <w:sz w:val="18"/>
                <w:szCs w:val="18"/>
              </w:rPr>
            </w:pPr>
            <w:r>
              <w:rPr>
                <w:rFonts w:hint="eastAsia" w:ascii="宋体" w:hAnsi="宋体" w:cs="宋体"/>
                <w:kern w:val="0"/>
                <w:sz w:val="18"/>
                <w:szCs w:val="18"/>
              </w:rPr>
              <w:t>黄金等贵金属珠宝首饰加工</w:t>
            </w:r>
          </w:p>
        </w:tc>
        <w:tc>
          <w:tcPr>
            <w:tcW w:w="2332" w:type="dxa"/>
            <w:tcBorders>
              <w:top w:val="nil"/>
              <w:left w:val="nil"/>
              <w:bottom w:val="single" w:color="auto" w:sz="4" w:space="0"/>
              <w:right w:val="single" w:color="auto" w:sz="4" w:space="0"/>
            </w:tcBorders>
            <w:vAlign w:val="center"/>
          </w:tcPr>
          <w:p>
            <w:pPr>
              <w:widowControl/>
              <w:jc w:val="left"/>
              <w:rPr>
                <w:rFonts w:ascii="宋体" w:cs="Times New Roman"/>
                <w:kern w:val="0"/>
                <w:sz w:val="18"/>
                <w:szCs w:val="18"/>
              </w:rPr>
            </w:pPr>
            <w:r>
              <w:rPr>
                <w:rFonts w:hint="eastAsia" w:ascii="宋体" w:hAnsi="宋体" w:cs="宋体"/>
                <w:kern w:val="0"/>
                <w:sz w:val="18"/>
                <w:szCs w:val="18"/>
              </w:rPr>
              <w:t>紫金珠宝公司（或招商引资）</w:t>
            </w:r>
          </w:p>
        </w:tc>
        <w:tc>
          <w:tcPr>
            <w:tcW w:w="3476" w:type="dxa"/>
            <w:tcBorders>
              <w:top w:val="nil"/>
              <w:left w:val="nil"/>
              <w:bottom w:val="single" w:color="auto" w:sz="4" w:space="0"/>
              <w:right w:val="single" w:color="auto" w:sz="4" w:space="0"/>
            </w:tcBorders>
            <w:vAlign w:val="center"/>
          </w:tcPr>
          <w:p>
            <w:pPr>
              <w:widowControl/>
              <w:jc w:val="left"/>
              <w:rPr>
                <w:rFonts w:ascii="宋体" w:cs="Times New Roman"/>
                <w:kern w:val="0"/>
                <w:sz w:val="18"/>
                <w:szCs w:val="18"/>
              </w:rPr>
            </w:pPr>
            <w:r>
              <w:rPr>
                <w:rFonts w:ascii="宋体" w:hAnsi="宋体" w:cs="宋体"/>
                <w:kern w:val="0"/>
                <w:sz w:val="18"/>
                <w:szCs w:val="18"/>
              </w:rPr>
              <w:t>18K</w:t>
            </w:r>
            <w:r>
              <w:rPr>
                <w:rFonts w:hint="eastAsia" w:ascii="宋体" w:hAnsi="宋体" w:cs="宋体"/>
                <w:kern w:val="0"/>
                <w:sz w:val="18"/>
                <w:szCs w:val="18"/>
              </w:rPr>
              <w:t>金首饰品</w:t>
            </w:r>
            <w:r>
              <w:rPr>
                <w:rFonts w:ascii="宋体" w:hAnsi="宋体" w:cs="宋体"/>
                <w:kern w:val="0"/>
                <w:sz w:val="18"/>
                <w:szCs w:val="18"/>
              </w:rPr>
              <w:t xml:space="preserve"> 30</w:t>
            </w:r>
            <w:r>
              <w:rPr>
                <w:rFonts w:hint="eastAsia" w:ascii="宋体" w:hAnsi="宋体" w:cs="宋体"/>
                <w:kern w:val="0"/>
                <w:sz w:val="18"/>
                <w:szCs w:val="18"/>
              </w:rPr>
              <w:t>万件、铂金首饰</w:t>
            </w:r>
            <w:r>
              <w:rPr>
                <w:rFonts w:ascii="宋体" w:hAnsi="宋体" w:cs="宋体"/>
                <w:kern w:val="0"/>
                <w:sz w:val="18"/>
                <w:szCs w:val="18"/>
              </w:rPr>
              <w:t>5</w:t>
            </w:r>
            <w:r>
              <w:rPr>
                <w:rFonts w:hint="eastAsia" w:ascii="宋体" w:hAnsi="宋体" w:cs="宋体"/>
                <w:kern w:val="0"/>
                <w:sz w:val="18"/>
                <w:szCs w:val="18"/>
              </w:rPr>
              <w:t>万件、银首饰若干</w:t>
            </w:r>
          </w:p>
        </w:tc>
        <w:tc>
          <w:tcPr>
            <w:tcW w:w="1149" w:type="dxa"/>
            <w:tcBorders>
              <w:top w:val="nil"/>
              <w:left w:val="nil"/>
              <w:bottom w:val="single" w:color="auto" w:sz="4" w:space="0"/>
              <w:right w:val="single" w:color="auto" w:sz="4" w:space="0"/>
            </w:tcBorders>
            <w:vAlign w:val="center"/>
          </w:tcPr>
          <w:p>
            <w:pPr>
              <w:widowControl/>
              <w:jc w:val="center"/>
              <w:rPr>
                <w:rFonts w:ascii="宋体" w:cs="Times New Roman"/>
                <w:kern w:val="0"/>
                <w:sz w:val="18"/>
                <w:szCs w:val="18"/>
              </w:rPr>
            </w:pPr>
            <w:r>
              <w:rPr>
                <w:rFonts w:ascii="宋体" w:hAnsi="宋体" w:cs="宋体"/>
                <w:kern w:val="0"/>
                <w:sz w:val="18"/>
                <w:szCs w:val="18"/>
              </w:rPr>
              <w:t>30,000</w:t>
            </w:r>
          </w:p>
        </w:tc>
        <w:tc>
          <w:tcPr>
            <w:tcW w:w="1059" w:type="dxa"/>
            <w:tcBorders>
              <w:top w:val="nil"/>
              <w:left w:val="nil"/>
              <w:bottom w:val="single" w:color="auto" w:sz="4" w:space="0"/>
              <w:right w:val="single" w:color="auto" w:sz="4" w:space="0"/>
            </w:tcBorders>
            <w:vAlign w:val="center"/>
          </w:tcPr>
          <w:p>
            <w:pPr>
              <w:widowControl/>
              <w:jc w:val="center"/>
              <w:rPr>
                <w:rFonts w:ascii="宋体" w:cs="Times New Roman"/>
                <w:kern w:val="0"/>
                <w:sz w:val="18"/>
                <w:szCs w:val="18"/>
              </w:rPr>
            </w:pPr>
            <w:r>
              <w:rPr>
                <w:rFonts w:ascii="宋体" w:hAnsi="宋体" w:cs="宋体"/>
                <w:kern w:val="0"/>
                <w:sz w:val="18"/>
                <w:szCs w:val="18"/>
              </w:rPr>
              <w:t>300,000</w:t>
            </w:r>
          </w:p>
        </w:tc>
        <w:tc>
          <w:tcPr>
            <w:tcW w:w="1328" w:type="dxa"/>
            <w:tcBorders>
              <w:top w:val="nil"/>
              <w:left w:val="nil"/>
              <w:bottom w:val="single" w:color="auto" w:sz="4" w:space="0"/>
              <w:right w:val="single" w:color="auto" w:sz="4" w:space="0"/>
            </w:tcBorders>
            <w:vAlign w:val="center"/>
          </w:tcPr>
          <w:p>
            <w:pPr>
              <w:widowControl/>
              <w:jc w:val="center"/>
              <w:rPr>
                <w:rFonts w:ascii="宋体" w:cs="Times New Roman"/>
                <w:kern w:val="0"/>
                <w:sz w:val="18"/>
                <w:szCs w:val="18"/>
              </w:rPr>
            </w:pPr>
            <w:r>
              <w:rPr>
                <w:rFonts w:hint="eastAsia" w:ascii="宋体" w:hAnsi="宋体" w:cs="宋体"/>
                <w:kern w:val="0"/>
                <w:sz w:val="18"/>
                <w:szCs w:val="18"/>
              </w:rPr>
              <w:t>稀贵金属</w:t>
            </w:r>
            <w:r>
              <w:rPr>
                <w:rFonts w:ascii="宋体" w:hAnsi="宋体" w:cs="宋体"/>
                <w:kern w:val="0"/>
                <w:sz w:val="18"/>
                <w:szCs w:val="18"/>
              </w:rPr>
              <w:t>/</w:t>
            </w:r>
            <w:r>
              <w:rPr>
                <w:rFonts w:hint="eastAsia" w:ascii="宋体" w:hAnsi="宋体" w:cs="宋体"/>
                <w:kern w:val="0"/>
                <w:sz w:val="18"/>
                <w:szCs w:val="18"/>
              </w:rPr>
              <w:t>首饰加工</w:t>
            </w:r>
          </w:p>
        </w:tc>
        <w:tc>
          <w:tcPr>
            <w:tcW w:w="1672" w:type="dxa"/>
            <w:tcBorders>
              <w:top w:val="nil"/>
              <w:left w:val="nil"/>
              <w:bottom w:val="single" w:color="auto" w:sz="4" w:space="0"/>
              <w:right w:val="single" w:color="auto" w:sz="4" w:space="0"/>
            </w:tcBorders>
            <w:vAlign w:val="center"/>
          </w:tcPr>
          <w:p>
            <w:pPr>
              <w:jc w:val="center"/>
              <w:rPr>
                <w:rFonts w:cs="Times New Roman"/>
              </w:rPr>
            </w:pPr>
            <w:r>
              <w:rPr>
                <w:rFonts w:hint="eastAsia" w:ascii="宋体" w:hAnsi="宋体" w:cs="宋体"/>
                <w:kern w:val="0"/>
                <w:sz w:val="18"/>
                <w:szCs w:val="18"/>
              </w:rPr>
              <w:t>上杭县工业园</w:t>
            </w:r>
          </w:p>
        </w:tc>
      </w:tr>
      <w:tr>
        <w:trPr>
          <w:trHeight w:val="480" w:hRule="atLeast"/>
        </w:trPr>
        <w:tc>
          <w:tcPr>
            <w:tcW w:w="490" w:type="dxa"/>
            <w:tcBorders>
              <w:top w:val="nil"/>
              <w:left w:val="single" w:color="auto" w:sz="4" w:space="0"/>
              <w:bottom w:val="single" w:color="auto" w:sz="4" w:space="0"/>
              <w:right w:val="single" w:color="auto" w:sz="4" w:space="0"/>
            </w:tcBorders>
            <w:shd w:val="clear" w:color="auto" w:fill="D9D9D9"/>
            <w:vAlign w:val="center"/>
          </w:tcPr>
          <w:p>
            <w:pPr>
              <w:jc w:val="center"/>
              <w:rPr>
                <w:b/>
                <w:bCs/>
                <w:sz w:val="18"/>
                <w:szCs w:val="18"/>
              </w:rPr>
            </w:pPr>
            <w:r>
              <w:rPr>
                <w:b/>
                <w:bCs/>
                <w:sz w:val="18"/>
                <w:szCs w:val="18"/>
              </w:rPr>
              <w:t>117</w:t>
            </w:r>
          </w:p>
        </w:tc>
        <w:tc>
          <w:tcPr>
            <w:tcW w:w="2515" w:type="dxa"/>
            <w:tcBorders>
              <w:top w:val="nil"/>
              <w:left w:val="nil"/>
              <w:bottom w:val="single" w:color="auto" w:sz="4" w:space="0"/>
              <w:right w:val="single" w:color="auto" w:sz="4" w:space="0"/>
            </w:tcBorders>
            <w:vAlign w:val="center"/>
          </w:tcPr>
          <w:p>
            <w:pPr>
              <w:widowControl/>
              <w:jc w:val="left"/>
              <w:rPr>
                <w:rFonts w:ascii="宋体" w:cs="Times New Roman"/>
                <w:kern w:val="0"/>
                <w:sz w:val="18"/>
                <w:szCs w:val="18"/>
              </w:rPr>
            </w:pPr>
            <w:r>
              <w:rPr>
                <w:rFonts w:hint="eastAsia" w:ascii="宋体" w:hAnsi="宋体" w:cs="宋体"/>
                <w:kern w:val="0"/>
                <w:sz w:val="18"/>
                <w:szCs w:val="18"/>
              </w:rPr>
              <w:t>金箔</w:t>
            </w:r>
          </w:p>
        </w:tc>
        <w:tc>
          <w:tcPr>
            <w:tcW w:w="2332" w:type="dxa"/>
            <w:tcBorders>
              <w:top w:val="nil"/>
              <w:left w:val="nil"/>
              <w:bottom w:val="single" w:color="auto" w:sz="4" w:space="0"/>
              <w:right w:val="single" w:color="auto" w:sz="4" w:space="0"/>
            </w:tcBorders>
            <w:vAlign w:val="center"/>
          </w:tcPr>
          <w:p>
            <w:pPr>
              <w:widowControl/>
              <w:jc w:val="left"/>
              <w:rPr>
                <w:rFonts w:ascii="宋体" w:cs="Times New Roman"/>
                <w:kern w:val="0"/>
                <w:sz w:val="18"/>
                <w:szCs w:val="18"/>
              </w:rPr>
            </w:pPr>
            <w:r>
              <w:rPr>
                <w:rFonts w:hint="eastAsia" w:ascii="宋体" w:hAnsi="宋体" w:cs="宋体"/>
                <w:kern w:val="0"/>
                <w:sz w:val="18"/>
                <w:szCs w:val="18"/>
              </w:rPr>
              <w:t>招商引资（招商对象：南京金箔集团）</w:t>
            </w:r>
          </w:p>
        </w:tc>
        <w:tc>
          <w:tcPr>
            <w:tcW w:w="3476" w:type="dxa"/>
            <w:tcBorders>
              <w:top w:val="nil"/>
              <w:left w:val="nil"/>
              <w:bottom w:val="single" w:color="auto" w:sz="4" w:space="0"/>
              <w:right w:val="single" w:color="auto" w:sz="4" w:space="0"/>
            </w:tcBorders>
            <w:vAlign w:val="center"/>
          </w:tcPr>
          <w:p>
            <w:pPr>
              <w:widowControl/>
              <w:jc w:val="left"/>
              <w:rPr>
                <w:rFonts w:ascii="宋体" w:cs="Times New Roman"/>
                <w:kern w:val="0"/>
                <w:sz w:val="18"/>
                <w:szCs w:val="18"/>
              </w:rPr>
            </w:pPr>
            <w:r>
              <w:rPr>
                <w:rFonts w:hint="eastAsia" w:ascii="宋体" w:hAnsi="宋体" w:cs="宋体"/>
                <w:kern w:val="0"/>
                <w:sz w:val="18"/>
                <w:szCs w:val="18"/>
              </w:rPr>
              <w:t>年产金箔</w:t>
            </w:r>
            <w:r>
              <w:rPr>
                <w:rFonts w:ascii="宋体" w:hAnsi="宋体" w:cs="宋体"/>
                <w:kern w:val="0"/>
                <w:sz w:val="18"/>
                <w:szCs w:val="18"/>
              </w:rPr>
              <w:t>4000</w:t>
            </w:r>
            <w:r>
              <w:rPr>
                <w:rFonts w:hint="eastAsia" w:ascii="宋体" w:hAnsi="宋体" w:cs="宋体"/>
                <w:kern w:val="0"/>
                <w:sz w:val="18"/>
                <w:szCs w:val="18"/>
              </w:rPr>
              <w:t>万张、铜箔金线银线若干</w:t>
            </w:r>
          </w:p>
        </w:tc>
        <w:tc>
          <w:tcPr>
            <w:tcW w:w="1149" w:type="dxa"/>
            <w:tcBorders>
              <w:top w:val="nil"/>
              <w:left w:val="nil"/>
              <w:bottom w:val="single" w:color="auto" w:sz="4" w:space="0"/>
              <w:right w:val="single" w:color="auto" w:sz="4" w:space="0"/>
            </w:tcBorders>
            <w:vAlign w:val="center"/>
          </w:tcPr>
          <w:p>
            <w:pPr>
              <w:widowControl/>
              <w:jc w:val="center"/>
              <w:rPr>
                <w:rFonts w:ascii="宋体" w:cs="Times New Roman"/>
                <w:kern w:val="0"/>
                <w:sz w:val="18"/>
                <w:szCs w:val="18"/>
              </w:rPr>
            </w:pPr>
            <w:r>
              <w:rPr>
                <w:rFonts w:ascii="宋体" w:hAnsi="宋体" w:cs="宋体"/>
                <w:kern w:val="0"/>
                <w:sz w:val="18"/>
                <w:szCs w:val="18"/>
              </w:rPr>
              <w:t>20,000</w:t>
            </w:r>
          </w:p>
        </w:tc>
        <w:tc>
          <w:tcPr>
            <w:tcW w:w="1059" w:type="dxa"/>
            <w:tcBorders>
              <w:top w:val="nil"/>
              <w:left w:val="nil"/>
              <w:bottom w:val="single" w:color="auto" w:sz="4" w:space="0"/>
              <w:right w:val="single" w:color="auto" w:sz="4" w:space="0"/>
            </w:tcBorders>
            <w:vAlign w:val="center"/>
          </w:tcPr>
          <w:p>
            <w:pPr>
              <w:widowControl/>
              <w:jc w:val="center"/>
              <w:rPr>
                <w:rFonts w:ascii="宋体" w:cs="Times New Roman"/>
                <w:kern w:val="0"/>
                <w:sz w:val="18"/>
                <w:szCs w:val="18"/>
              </w:rPr>
            </w:pPr>
            <w:r>
              <w:rPr>
                <w:rFonts w:ascii="宋体" w:hAnsi="宋体" w:cs="宋体"/>
                <w:kern w:val="0"/>
                <w:sz w:val="18"/>
                <w:szCs w:val="18"/>
              </w:rPr>
              <w:t>100,000</w:t>
            </w:r>
          </w:p>
        </w:tc>
        <w:tc>
          <w:tcPr>
            <w:tcW w:w="1328" w:type="dxa"/>
            <w:tcBorders>
              <w:top w:val="nil"/>
              <w:left w:val="nil"/>
              <w:bottom w:val="single" w:color="auto" w:sz="4" w:space="0"/>
              <w:right w:val="single" w:color="auto" w:sz="4" w:space="0"/>
            </w:tcBorders>
            <w:vAlign w:val="center"/>
          </w:tcPr>
          <w:p>
            <w:pPr>
              <w:widowControl/>
              <w:jc w:val="center"/>
              <w:rPr>
                <w:rFonts w:ascii="宋体" w:cs="Times New Roman"/>
                <w:kern w:val="0"/>
                <w:sz w:val="18"/>
                <w:szCs w:val="18"/>
              </w:rPr>
            </w:pPr>
            <w:r>
              <w:rPr>
                <w:rFonts w:hint="eastAsia" w:ascii="宋体" w:hAnsi="宋体" w:cs="宋体"/>
                <w:kern w:val="0"/>
                <w:sz w:val="18"/>
                <w:szCs w:val="18"/>
              </w:rPr>
              <w:t>稀贵金属</w:t>
            </w:r>
          </w:p>
        </w:tc>
        <w:tc>
          <w:tcPr>
            <w:tcW w:w="1672" w:type="dxa"/>
            <w:tcBorders>
              <w:top w:val="nil"/>
              <w:left w:val="nil"/>
              <w:bottom w:val="single" w:color="auto" w:sz="4" w:space="0"/>
              <w:right w:val="single" w:color="auto" w:sz="4" w:space="0"/>
            </w:tcBorders>
            <w:vAlign w:val="center"/>
          </w:tcPr>
          <w:p>
            <w:pPr>
              <w:jc w:val="center"/>
              <w:rPr>
                <w:rFonts w:cs="Times New Roman"/>
              </w:rPr>
            </w:pPr>
            <w:r>
              <w:rPr>
                <w:rFonts w:hint="eastAsia" w:ascii="宋体" w:hAnsi="宋体" w:cs="宋体"/>
                <w:kern w:val="0"/>
                <w:sz w:val="18"/>
                <w:szCs w:val="18"/>
              </w:rPr>
              <w:t>上杭县工业园</w:t>
            </w:r>
          </w:p>
        </w:tc>
      </w:tr>
      <w:tr>
        <w:trPr>
          <w:trHeight w:val="480" w:hRule="atLeast"/>
        </w:trPr>
        <w:tc>
          <w:tcPr>
            <w:tcW w:w="490" w:type="dxa"/>
            <w:tcBorders>
              <w:top w:val="nil"/>
              <w:left w:val="single" w:color="auto" w:sz="4" w:space="0"/>
              <w:bottom w:val="single" w:color="auto" w:sz="4" w:space="0"/>
              <w:right w:val="single" w:color="auto" w:sz="4" w:space="0"/>
            </w:tcBorders>
            <w:shd w:val="clear" w:color="auto" w:fill="D9D9D9"/>
            <w:vAlign w:val="center"/>
          </w:tcPr>
          <w:p>
            <w:pPr>
              <w:jc w:val="center"/>
              <w:rPr>
                <w:b/>
                <w:bCs/>
                <w:sz w:val="18"/>
                <w:szCs w:val="18"/>
              </w:rPr>
            </w:pPr>
            <w:r>
              <w:rPr>
                <w:b/>
                <w:bCs/>
                <w:sz w:val="18"/>
                <w:szCs w:val="18"/>
              </w:rPr>
              <w:t>118</w:t>
            </w:r>
          </w:p>
        </w:tc>
        <w:tc>
          <w:tcPr>
            <w:tcW w:w="2515" w:type="dxa"/>
            <w:tcBorders>
              <w:top w:val="nil"/>
              <w:left w:val="nil"/>
              <w:bottom w:val="single" w:color="auto" w:sz="4" w:space="0"/>
              <w:right w:val="single" w:color="auto" w:sz="4" w:space="0"/>
            </w:tcBorders>
            <w:vAlign w:val="center"/>
          </w:tcPr>
          <w:p>
            <w:pPr>
              <w:widowControl/>
              <w:jc w:val="left"/>
              <w:rPr>
                <w:rFonts w:ascii="宋体" w:cs="Times New Roman"/>
                <w:kern w:val="0"/>
                <w:sz w:val="18"/>
                <w:szCs w:val="18"/>
              </w:rPr>
            </w:pPr>
            <w:r>
              <w:rPr>
                <w:rFonts w:hint="eastAsia" w:ascii="宋体" w:hAnsi="宋体" w:cs="宋体"/>
                <w:kern w:val="0"/>
                <w:sz w:val="18"/>
                <w:szCs w:val="18"/>
              </w:rPr>
              <w:t>投资金条</w:t>
            </w:r>
          </w:p>
        </w:tc>
        <w:tc>
          <w:tcPr>
            <w:tcW w:w="2332" w:type="dxa"/>
            <w:tcBorders>
              <w:top w:val="nil"/>
              <w:left w:val="nil"/>
              <w:bottom w:val="single" w:color="auto" w:sz="4" w:space="0"/>
              <w:right w:val="single" w:color="auto" w:sz="4" w:space="0"/>
            </w:tcBorders>
            <w:vAlign w:val="center"/>
          </w:tcPr>
          <w:p>
            <w:pPr>
              <w:widowControl/>
              <w:jc w:val="left"/>
              <w:rPr>
                <w:rFonts w:ascii="宋体" w:cs="Times New Roman"/>
                <w:kern w:val="0"/>
                <w:sz w:val="18"/>
                <w:szCs w:val="18"/>
              </w:rPr>
            </w:pPr>
            <w:r>
              <w:rPr>
                <w:rFonts w:hint="eastAsia" w:ascii="宋体" w:hAnsi="宋体" w:cs="宋体"/>
                <w:kern w:val="0"/>
                <w:sz w:val="18"/>
                <w:szCs w:val="18"/>
              </w:rPr>
              <w:t>紫金矿业集团股份有限公司黄金冶炼厂</w:t>
            </w:r>
          </w:p>
        </w:tc>
        <w:tc>
          <w:tcPr>
            <w:tcW w:w="3476" w:type="dxa"/>
            <w:tcBorders>
              <w:top w:val="nil"/>
              <w:left w:val="nil"/>
              <w:bottom w:val="single" w:color="auto" w:sz="4" w:space="0"/>
              <w:right w:val="single" w:color="auto" w:sz="4" w:space="0"/>
            </w:tcBorders>
            <w:vAlign w:val="center"/>
          </w:tcPr>
          <w:p>
            <w:pPr>
              <w:widowControl/>
              <w:jc w:val="left"/>
              <w:rPr>
                <w:rFonts w:ascii="宋体" w:cs="Times New Roman"/>
                <w:kern w:val="0"/>
                <w:sz w:val="18"/>
                <w:szCs w:val="18"/>
              </w:rPr>
            </w:pPr>
            <w:r>
              <w:rPr>
                <w:rFonts w:hint="eastAsia" w:ascii="宋体" w:hAnsi="宋体" w:cs="宋体"/>
                <w:kern w:val="0"/>
                <w:sz w:val="18"/>
                <w:szCs w:val="18"/>
              </w:rPr>
              <w:t>产能扩建到</w:t>
            </w:r>
            <w:r>
              <w:rPr>
                <w:rFonts w:ascii="宋体" w:hAnsi="宋体" w:cs="宋体"/>
                <w:kern w:val="0"/>
                <w:sz w:val="18"/>
                <w:szCs w:val="18"/>
              </w:rPr>
              <w:t>10</w:t>
            </w:r>
            <w:r>
              <w:rPr>
                <w:rFonts w:hint="eastAsia" w:ascii="宋体" w:hAnsi="宋体" w:cs="宋体"/>
                <w:kern w:val="0"/>
                <w:sz w:val="18"/>
                <w:szCs w:val="18"/>
              </w:rPr>
              <w:t>吨</w:t>
            </w:r>
          </w:p>
        </w:tc>
        <w:tc>
          <w:tcPr>
            <w:tcW w:w="1149" w:type="dxa"/>
            <w:tcBorders>
              <w:top w:val="nil"/>
              <w:left w:val="nil"/>
              <w:bottom w:val="single" w:color="auto" w:sz="4" w:space="0"/>
              <w:right w:val="single" w:color="auto" w:sz="4" w:space="0"/>
            </w:tcBorders>
            <w:vAlign w:val="center"/>
          </w:tcPr>
          <w:p>
            <w:pPr>
              <w:widowControl/>
              <w:jc w:val="center"/>
              <w:rPr>
                <w:rFonts w:ascii="宋体" w:cs="Times New Roman"/>
                <w:kern w:val="0"/>
                <w:sz w:val="18"/>
                <w:szCs w:val="18"/>
              </w:rPr>
            </w:pPr>
            <w:r>
              <w:rPr>
                <w:rFonts w:ascii="宋体" w:hAnsi="宋体" w:cs="宋体"/>
                <w:kern w:val="0"/>
                <w:sz w:val="18"/>
                <w:szCs w:val="18"/>
              </w:rPr>
              <w:t>5,000</w:t>
            </w:r>
          </w:p>
        </w:tc>
        <w:tc>
          <w:tcPr>
            <w:tcW w:w="1059" w:type="dxa"/>
            <w:tcBorders>
              <w:top w:val="nil"/>
              <w:left w:val="nil"/>
              <w:bottom w:val="single" w:color="auto" w:sz="4" w:space="0"/>
              <w:right w:val="single" w:color="auto" w:sz="4" w:space="0"/>
            </w:tcBorders>
            <w:vAlign w:val="center"/>
          </w:tcPr>
          <w:p>
            <w:pPr>
              <w:widowControl/>
              <w:jc w:val="center"/>
              <w:rPr>
                <w:rFonts w:ascii="宋体" w:cs="Times New Roman"/>
                <w:kern w:val="0"/>
                <w:sz w:val="18"/>
                <w:szCs w:val="18"/>
              </w:rPr>
            </w:pPr>
            <w:r>
              <w:rPr>
                <w:rFonts w:ascii="宋体" w:hAnsi="宋体" w:cs="宋体"/>
                <w:kern w:val="0"/>
                <w:sz w:val="18"/>
                <w:szCs w:val="18"/>
              </w:rPr>
              <w:t>400,000</w:t>
            </w:r>
          </w:p>
        </w:tc>
        <w:tc>
          <w:tcPr>
            <w:tcW w:w="1328" w:type="dxa"/>
            <w:tcBorders>
              <w:top w:val="nil"/>
              <w:left w:val="nil"/>
              <w:bottom w:val="single" w:color="auto" w:sz="4" w:space="0"/>
              <w:right w:val="single" w:color="auto" w:sz="4" w:space="0"/>
            </w:tcBorders>
            <w:vAlign w:val="center"/>
          </w:tcPr>
          <w:p>
            <w:pPr>
              <w:widowControl/>
              <w:jc w:val="center"/>
              <w:rPr>
                <w:rFonts w:ascii="宋体" w:cs="Times New Roman"/>
                <w:kern w:val="0"/>
                <w:sz w:val="18"/>
                <w:szCs w:val="18"/>
              </w:rPr>
            </w:pPr>
            <w:r>
              <w:rPr>
                <w:rFonts w:hint="eastAsia" w:ascii="宋体" w:hAnsi="宋体" w:cs="宋体"/>
                <w:kern w:val="0"/>
                <w:sz w:val="18"/>
                <w:szCs w:val="18"/>
              </w:rPr>
              <w:t>稀贵金属</w:t>
            </w:r>
            <w:r>
              <w:rPr>
                <w:rFonts w:ascii="宋体" w:hAnsi="宋体" w:cs="宋体"/>
                <w:kern w:val="0"/>
                <w:sz w:val="18"/>
                <w:szCs w:val="18"/>
              </w:rPr>
              <w:t>/</w:t>
            </w:r>
            <w:r>
              <w:rPr>
                <w:rFonts w:hint="eastAsia" w:ascii="宋体" w:hAnsi="宋体" w:cs="宋体"/>
                <w:kern w:val="0"/>
                <w:sz w:val="18"/>
                <w:szCs w:val="18"/>
              </w:rPr>
              <w:t>投资品</w:t>
            </w:r>
          </w:p>
        </w:tc>
        <w:tc>
          <w:tcPr>
            <w:tcW w:w="1672" w:type="dxa"/>
            <w:tcBorders>
              <w:top w:val="nil"/>
              <w:left w:val="nil"/>
              <w:bottom w:val="single" w:color="auto" w:sz="4" w:space="0"/>
              <w:right w:val="single" w:color="auto" w:sz="4" w:space="0"/>
            </w:tcBorders>
            <w:vAlign w:val="center"/>
          </w:tcPr>
          <w:p>
            <w:pPr>
              <w:jc w:val="center"/>
              <w:rPr>
                <w:rFonts w:cs="Times New Roman"/>
              </w:rPr>
            </w:pPr>
            <w:r>
              <w:rPr>
                <w:rFonts w:hint="eastAsia" w:ascii="宋体" w:hAnsi="宋体" w:cs="宋体"/>
                <w:kern w:val="0"/>
                <w:sz w:val="18"/>
                <w:szCs w:val="18"/>
              </w:rPr>
              <w:t>上杭县工业园</w:t>
            </w:r>
          </w:p>
        </w:tc>
      </w:tr>
      <w:tr>
        <w:trPr>
          <w:trHeight w:val="480" w:hRule="atLeast"/>
        </w:trPr>
        <w:tc>
          <w:tcPr>
            <w:tcW w:w="490" w:type="dxa"/>
            <w:tcBorders>
              <w:top w:val="nil"/>
              <w:left w:val="single" w:color="auto" w:sz="4" w:space="0"/>
              <w:bottom w:val="single" w:color="auto" w:sz="4" w:space="0"/>
              <w:right w:val="single" w:color="auto" w:sz="4" w:space="0"/>
            </w:tcBorders>
            <w:shd w:val="clear" w:color="auto" w:fill="D9D9D9"/>
            <w:vAlign w:val="center"/>
          </w:tcPr>
          <w:p>
            <w:pPr>
              <w:jc w:val="center"/>
              <w:rPr>
                <w:b/>
                <w:bCs/>
                <w:sz w:val="18"/>
                <w:szCs w:val="18"/>
              </w:rPr>
            </w:pPr>
            <w:r>
              <w:rPr>
                <w:b/>
                <w:bCs/>
                <w:sz w:val="18"/>
                <w:szCs w:val="18"/>
              </w:rPr>
              <w:t>119</w:t>
            </w:r>
          </w:p>
        </w:tc>
        <w:tc>
          <w:tcPr>
            <w:tcW w:w="2515" w:type="dxa"/>
            <w:tcBorders>
              <w:top w:val="nil"/>
              <w:left w:val="nil"/>
              <w:bottom w:val="single" w:color="auto" w:sz="4" w:space="0"/>
              <w:right w:val="single" w:color="auto" w:sz="4" w:space="0"/>
            </w:tcBorders>
            <w:vAlign w:val="center"/>
          </w:tcPr>
          <w:p>
            <w:pPr>
              <w:widowControl/>
              <w:jc w:val="left"/>
              <w:rPr>
                <w:rFonts w:ascii="宋体" w:cs="Times New Roman"/>
                <w:kern w:val="0"/>
                <w:sz w:val="18"/>
                <w:szCs w:val="18"/>
              </w:rPr>
            </w:pPr>
            <w:r>
              <w:rPr>
                <w:rFonts w:hint="eastAsia" w:ascii="宋体" w:hAnsi="宋体" w:cs="宋体"/>
                <w:kern w:val="0"/>
                <w:sz w:val="18"/>
                <w:szCs w:val="18"/>
              </w:rPr>
              <w:t>银首饰</w:t>
            </w:r>
          </w:p>
        </w:tc>
        <w:tc>
          <w:tcPr>
            <w:tcW w:w="2332" w:type="dxa"/>
            <w:tcBorders>
              <w:top w:val="nil"/>
              <w:left w:val="nil"/>
              <w:bottom w:val="single" w:color="auto" w:sz="4" w:space="0"/>
              <w:right w:val="single" w:color="auto" w:sz="4" w:space="0"/>
            </w:tcBorders>
            <w:vAlign w:val="center"/>
          </w:tcPr>
          <w:p>
            <w:pPr>
              <w:widowControl/>
              <w:jc w:val="left"/>
              <w:rPr>
                <w:rFonts w:ascii="宋体" w:cs="Times New Roman"/>
                <w:kern w:val="0"/>
                <w:sz w:val="18"/>
                <w:szCs w:val="18"/>
              </w:rPr>
            </w:pPr>
            <w:r>
              <w:rPr>
                <w:rFonts w:hint="eastAsia" w:ascii="宋体" w:hAnsi="宋体" w:cs="宋体"/>
                <w:kern w:val="0"/>
                <w:sz w:val="18"/>
                <w:szCs w:val="18"/>
              </w:rPr>
              <w:t>深圳市信德缘珠宝首饰有限公司、中国白银集团</w:t>
            </w:r>
          </w:p>
        </w:tc>
        <w:tc>
          <w:tcPr>
            <w:tcW w:w="3476" w:type="dxa"/>
            <w:tcBorders>
              <w:top w:val="nil"/>
              <w:left w:val="nil"/>
              <w:bottom w:val="single" w:color="auto" w:sz="4" w:space="0"/>
              <w:right w:val="single" w:color="auto" w:sz="4" w:space="0"/>
            </w:tcBorders>
            <w:vAlign w:val="center"/>
          </w:tcPr>
          <w:p>
            <w:pPr>
              <w:widowControl/>
              <w:jc w:val="left"/>
              <w:rPr>
                <w:rFonts w:cs="Times New Roman"/>
                <w:kern w:val="0"/>
                <w:sz w:val="18"/>
                <w:szCs w:val="18"/>
              </w:rPr>
            </w:pPr>
            <w:r>
              <w:rPr>
                <w:rFonts w:hint="eastAsia" w:ascii="宋体" w:hAnsi="宋体" w:cs="宋体"/>
                <w:kern w:val="0"/>
                <w:sz w:val="18"/>
                <w:szCs w:val="18"/>
              </w:rPr>
              <w:t>年产银首饰</w:t>
            </w:r>
            <w:r>
              <w:rPr>
                <w:kern w:val="0"/>
                <w:sz w:val="18"/>
                <w:szCs w:val="18"/>
              </w:rPr>
              <w:t>200</w:t>
            </w:r>
            <w:r>
              <w:rPr>
                <w:rFonts w:hint="eastAsia" w:ascii="宋体" w:hAnsi="宋体" w:cs="宋体"/>
                <w:kern w:val="0"/>
                <w:sz w:val="18"/>
                <w:szCs w:val="18"/>
              </w:rPr>
              <w:t>吨</w:t>
            </w:r>
          </w:p>
        </w:tc>
        <w:tc>
          <w:tcPr>
            <w:tcW w:w="1149" w:type="dxa"/>
            <w:tcBorders>
              <w:top w:val="nil"/>
              <w:left w:val="nil"/>
              <w:bottom w:val="single" w:color="auto" w:sz="4" w:space="0"/>
              <w:right w:val="single" w:color="auto" w:sz="4" w:space="0"/>
            </w:tcBorders>
            <w:vAlign w:val="center"/>
          </w:tcPr>
          <w:p>
            <w:pPr>
              <w:widowControl/>
              <w:jc w:val="center"/>
              <w:rPr>
                <w:rFonts w:ascii="宋体" w:cs="Times New Roman"/>
                <w:kern w:val="0"/>
                <w:sz w:val="18"/>
                <w:szCs w:val="18"/>
              </w:rPr>
            </w:pPr>
            <w:r>
              <w:rPr>
                <w:rFonts w:ascii="宋体" w:hAnsi="宋体" w:cs="宋体"/>
                <w:kern w:val="0"/>
                <w:sz w:val="18"/>
                <w:szCs w:val="18"/>
              </w:rPr>
              <w:t>5,500</w:t>
            </w:r>
          </w:p>
        </w:tc>
        <w:tc>
          <w:tcPr>
            <w:tcW w:w="1059" w:type="dxa"/>
            <w:tcBorders>
              <w:top w:val="nil"/>
              <w:left w:val="nil"/>
              <w:bottom w:val="single" w:color="auto" w:sz="4" w:space="0"/>
              <w:right w:val="single" w:color="auto" w:sz="4" w:space="0"/>
            </w:tcBorders>
            <w:vAlign w:val="center"/>
          </w:tcPr>
          <w:p>
            <w:pPr>
              <w:widowControl/>
              <w:jc w:val="center"/>
              <w:rPr>
                <w:rFonts w:ascii="宋体" w:cs="Times New Roman"/>
                <w:kern w:val="0"/>
                <w:sz w:val="18"/>
                <w:szCs w:val="18"/>
              </w:rPr>
            </w:pPr>
            <w:r>
              <w:rPr>
                <w:rFonts w:ascii="宋体" w:hAnsi="宋体" w:cs="宋体"/>
                <w:kern w:val="0"/>
                <w:sz w:val="18"/>
                <w:szCs w:val="18"/>
              </w:rPr>
              <w:t>126,000</w:t>
            </w:r>
          </w:p>
        </w:tc>
        <w:tc>
          <w:tcPr>
            <w:tcW w:w="1328" w:type="dxa"/>
            <w:tcBorders>
              <w:top w:val="nil"/>
              <w:left w:val="nil"/>
              <w:bottom w:val="single" w:color="auto" w:sz="4" w:space="0"/>
              <w:right w:val="single" w:color="auto" w:sz="4" w:space="0"/>
            </w:tcBorders>
            <w:vAlign w:val="center"/>
          </w:tcPr>
          <w:p>
            <w:pPr>
              <w:widowControl/>
              <w:jc w:val="center"/>
              <w:rPr>
                <w:rFonts w:ascii="宋体" w:cs="Times New Roman"/>
                <w:kern w:val="0"/>
                <w:sz w:val="18"/>
                <w:szCs w:val="18"/>
              </w:rPr>
            </w:pPr>
            <w:r>
              <w:rPr>
                <w:rFonts w:hint="eastAsia" w:ascii="宋体" w:hAnsi="宋体" w:cs="宋体"/>
                <w:kern w:val="0"/>
                <w:sz w:val="18"/>
                <w:szCs w:val="18"/>
              </w:rPr>
              <w:t>稀贵金属</w:t>
            </w:r>
            <w:r>
              <w:rPr>
                <w:rFonts w:ascii="宋体" w:hAnsi="宋体" w:cs="宋体"/>
                <w:kern w:val="0"/>
                <w:sz w:val="18"/>
                <w:szCs w:val="18"/>
              </w:rPr>
              <w:t>/</w:t>
            </w:r>
            <w:r>
              <w:rPr>
                <w:rFonts w:hint="eastAsia" w:ascii="宋体" w:hAnsi="宋体" w:cs="宋体"/>
                <w:kern w:val="0"/>
                <w:sz w:val="18"/>
                <w:szCs w:val="18"/>
              </w:rPr>
              <w:t>首饰加工</w:t>
            </w:r>
          </w:p>
        </w:tc>
        <w:tc>
          <w:tcPr>
            <w:tcW w:w="1672" w:type="dxa"/>
            <w:tcBorders>
              <w:top w:val="nil"/>
              <w:left w:val="nil"/>
              <w:bottom w:val="single" w:color="auto" w:sz="4" w:space="0"/>
              <w:right w:val="single" w:color="auto" w:sz="4" w:space="0"/>
            </w:tcBorders>
            <w:vAlign w:val="center"/>
          </w:tcPr>
          <w:p>
            <w:pPr>
              <w:jc w:val="center"/>
              <w:rPr>
                <w:rFonts w:cs="Times New Roman"/>
              </w:rPr>
            </w:pPr>
            <w:r>
              <w:rPr>
                <w:rFonts w:hint="eastAsia" w:ascii="宋体" w:hAnsi="宋体" w:cs="宋体"/>
                <w:kern w:val="0"/>
                <w:sz w:val="18"/>
                <w:szCs w:val="18"/>
              </w:rPr>
              <w:t>上杭县工业园</w:t>
            </w:r>
          </w:p>
        </w:tc>
      </w:tr>
      <w:tr>
        <w:trPr>
          <w:trHeight w:val="480" w:hRule="atLeast"/>
        </w:trPr>
        <w:tc>
          <w:tcPr>
            <w:tcW w:w="490" w:type="dxa"/>
            <w:tcBorders>
              <w:top w:val="nil"/>
              <w:left w:val="single" w:color="auto" w:sz="4" w:space="0"/>
              <w:bottom w:val="single" w:color="auto" w:sz="4" w:space="0"/>
              <w:right w:val="single" w:color="auto" w:sz="4" w:space="0"/>
            </w:tcBorders>
            <w:shd w:val="clear" w:color="auto" w:fill="D9D9D9"/>
            <w:vAlign w:val="center"/>
          </w:tcPr>
          <w:p>
            <w:pPr>
              <w:jc w:val="center"/>
              <w:rPr>
                <w:b/>
                <w:bCs/>
                <w:sz w:val="18"/>
                <w:szCs w:val="18"/>
              </w:rPr>
            </w:pPr>
            <w:r>
              <w:rPr>
                <w:b/>
                <w:bCs/>
                <w:sz w:val="18"/>
                <w:szCs w:val="18"/>
              </w:rPr>
              <w:t>120</w:t>
            </w:r>
          </w:p>
        </w:tc>
        <w:tc>
          <w:tcPr>
            <w:tcW w:w="2515" w:type="dxa"/>
            <w:tcBorders>
              <w:top w:val="nil"/>
              <w:left w:val="nil"/>
              <w:bottom w:val="single" w:color="auto" w:sz="4" w:space="0"/>
              <w:right w:val="single" w:color="auto" w:sz="4" w:space="0"/>
            </w:tcBorders>
            <w:vAlign w:val="center"/>
          </w:tcPr>
          <w:p>
            <w:pPr>
              <w:widowControl/>
              <w:jc w:val="left"/>
              <w:rPr>
                <w:rFonts w:ascii="宋体" w:cs="Times New Roman"/>
                <w:kern w:val="0"/>
                <w:sz w:val="18"/>
                <w:szCs w:val="18"/>
              </w:rPr>
            </w:pPr>
            <w:r>
              <w:rPr>
                <w:rFonts w:hint="eastAsia" w:ascii="宋体" w:hAnsi="宋体" w:cs="宋体"/>
                <w:kern w:val="0"/>
                <w:sz w:val="18"/>
                <w:szCs w:val="18"/>
              </w:rPr>
              <w:t>银制品</w:t>
            </w:r>
          </w:p>
        </w:tc>
        <w:tc>
          <w:tcPr>
            <w:tcW w:w="2332" w:type="dxa"/>
            <w:tcBorders>
              <w:top w:val="nil"/>
              <w:left w:val="nil"/>
              <w:bottom w:val="single" w:color="auto" w:sz="4" w:space="0"/>
              <w:right w:val="single" w:color="auto" w:sz="4" w:space="0"/>
            </w:tcBorders>
            <w:vAlign w:val="center"/>
          </w:tcPr>
          <w:p>
            <w:pPr>
              <w:widowControl/>
              <w:spacing w:line="240" w:lineRule="exact"/>
              <w:jc w:val="left"/>
              <w:rPr>
                <w:rFonts w:ascii="宋体" w:cs="Times New Roman"/>
                <w:kern w:val="0"/>
                <w:sz w:val="18"/>
                <w:szCs w:val="18"/>
              </w:rPr>
            </w:pPr>
            <w:r>
              <w:rPr>
                <w:rFonts w:hint="eastAsia" w:ascii="宋体" w:hAnsi="宋体" w:cs="宋体"/>
                <w:kern w:val="0"/>
                <w:sz w:val="18"/>
                <w:szCs w:val="18"/>
              </w:rPr>
              <w:t>洛阳市银辉金银有限公司、深圳市徐</w:t>
            </w:r>
            <w:r>
              <w:rPr>
                <w:rFonts w:hint="eastAsia" w:cs="宋体"/>
                <w:sz w:val="18"/>
                <w:szCs w:val="18"/>
              </w:rPr>
              <w:t>福金</w:t>
            </w:r>
            <w:r>
              <w:rPr>
                <w:rFonts w:hint="eastAsia" w:ascii="宋体" w:hAnsi="宋体" w:cs="宋体"/>
                <w:kern w:val="0"/>
                <w:sz w:val="18"/>
                <w:szCs w:val="18"/>
              </w:rPr>
              <w:t>首饰有限公司</w:t>
            </w:r>
          </w:p>
        </w:tc>
        <w:tc>
          <w:tcPr>
            <w:tcW w:w="3476" w:type="dxa"/>
            <w:tcBorders>
              <w:top w:val="nil"/>
              <w:left w:val="nil"/>
              <w:bottom w:val="single" w:color="auto" w:sz="4" w:space="0"/>
              <w:right w:val="single" w:color="auto" w:sz="4" w:space="0"/>
            </w:tcBorders>
            <w:vAlign w:val="center"/>
          </w:tcPr>
          <w:p>
            <w:pPr>
              <w:widowControl/>
              <w:jc w:val="left"/>
              <w:rPr>
                <w:rFonts w:cs="Times New Roman"/>
                <w:kern w:val="0"/>
                <w:sz w:val="18"/>
                <w:szCs w:val="18"/>
              </w:rPr>
            </w:pPr>
            <w:r>
              <w:rPr>
                <w:rFonts w:hint="eastAsia" w:ascii="宋体" w:hAnsi="宋体" w:cs="宋体"/>
                <w:kern w:val="0"/>
                <w:sz w:val="18"/>
                <w:szCs w:val="18"/>
              </w:rPr>
              <w:t>年产银制品</w:t>
            </w:r>
            <w:r>
              <w:rPr>
                <w:kern w:val="0"/>
                <w:sz w:val="18"/>
                <w:szCs w:val="18"/>
              </w:rPr>
              <w:t>100</w:t>
            </w:r>
            <w:r>
              <w:rPr>
                <w:rFonts w:hint="eastAsia" w:ascii="宋体" w:hAnsi="宋体" w:cs="宋体"/>
                <w:kern w:val="0"/>
                <w:sz w:val="18"/>
                <w:szCs w:val="18"/>
              </w:rPr>
              <w:t>吨</w:t>
            </w:r>
          </w:p>
        </w:tc>
        <w:tc>
          <w:tcPr>
            <w:tcW w:w="1149" w:type="dxa"/>
            <w:tcBorders>
              <w:top w:val="nil"/>
              <w:left w:val="nil"/>
              <w:bottom w:val="single" w:color="auto" w:sz="4" w:space="0"/>
              <w:right w:val="single" w:color="auto" w:sz="4" w:space="0"/>
            </w:tcBorders>
            <w:vAlign w:val="center"/>
          </w:tcPr>
          <w:p>
            <w:pPr>
              <w:widowControl/>
              <w:jc w:val="center"/>
              <w:rPr>
                <w:rFonts w:ascii="宋体" w:cs="Times New Roman"/>
                <w:kern w:val="0"/>
                <w:sz w:val="18"/>
                <w:szCs w:val="18"/>
              </w:rPr>
            </w:pPr>
            <w:r>
              <w:rPr>
                <w:rFonts w:ascii="宋体" w:hAnsi="宋体" w:cs="宋体"/>
                <w:kern w:val="0"/>
                <w:sz w:val="18"/>
                <w:szCs w:val="18"/>
              </w:rPr>
              <w:t>3,000</w:t>
            </w:r>
          </w:p>
        </w:tc>
        <w:tc>
          <w:tcPr>
            <w:tcW w:w="1059" w:type="dxa"/>
            <w:tcBorders>
              <w:top w:val="nil"/>
              <w:left w:val="nil"/>
              <w:bottom w:val="single" w:color="auto" w:sz="4" w:space="0"/>
              <w:right w:val="single" w:color="auto" w:sz="4" w:space="0"/>
            </w:tcBorders>
            <w:vAlign w:val="center"/>
          </w:tcPr>
          <w:p>
            <w:pPr>
              <w:widowControl/>
              <w:jc w:val="center"/>
              <w:rPr>
                <w:rFonts w:ascii="宋体" w:cs="Times New Roman"/>
                <w:kern w:val="0"/>
                <w:sz w:val="18"/>
                <w:szCs w:val="18"/>
              </w:rPr>
            </w:pPr>
            <w:r>
              <w:rPr>
                <w:rFonts w:ascii="宋体" w:hAnsi="宋体" w:cs="宋体"/>
                <w:kern w:val="0"/>
                <w:sz w:val="18"/>
                <w:szCs w:val="18"/>
              </w:rPr>
              <w:t>90,000</w:t>
            </w:r>
          </w:p>
        </w:tc>
        <w:tc>
          <w:tcPr>
            <w:tcW w:w="1328" w:type="dxa"/>
            <w:tcBorders>
              <w:top w:val="nil"/>
              <w:left w:val="nil"/>
              <w:bottom w:val="single" w:color="auto" w:sz="4" w:space="0"/>
              <w:right w:val="single" w:color="auto" w:sz="4" w:space="0"/>
            </w:tcBorders>
            <w:vAlign w:val="center"/>
          </w:tcPr>
          <w:p>
            <w:pPr>
              <w:widowControl/>
              <w:jc w:val="center"/>
              <w:rPr>
                <w:rFonts w:ascii="宋体" w:cs="Times New Roman"/>
                <w:kern w:val="0"/>
                <w:sz w:val="18"/>
                <w:szCs w:val="18"/>
              </w:rPr>
            </w:pPr>
            <w:r>
              <w:rPr>
                <w:rFonts w:hint="eastAsia" w:ascii="宋体" w:hAnsi="宋体" w:cs="宋体"/>
                <w:kern w:val="0"/>
                <w:sz w:val="18"/>
                <w:szCs w:val="18"/>
              </w:rPr>
              <w:t>稀贵金属</w:t>
            </w:r>
            <w:r>
              <w:rPr>
                <w:rFonts w:ascii="宋体" w:hAnsi="宋体" w:cs="宋体"/>
                <w:kern w:val="0"/>
                <w:sz w:val="18"/>
                <w:szCs w:val="18"/>
              </w:rPr>
              <w:t>/</w:t>
            </w:r>
            <w:r>
              <w:rPr>
                <w:rFonts w:hint="eastAsia" w:ascii="宋体" w:hAnsi="宋体" w:cs="宋体"/>
                <w:kern w:val="0"/>
                <w:sz w:val="18"/>
                <w:szCs w:val="18"/>
              </w:rPr>
              <w:t>首饰加工</w:t>
            </w:r>
          </w:p>
        </w:tc>
        <w:tc>
          <w:tcPr>
            <w:tcW w:w="1672" w:type="dxa"/>
            <w:tcBorders>
              <w:top w:val="nil"/>
              <w:left w:val="nil"/>
              <w:bottom w:val="single" w:color="auto" w:sz="4" w:space="0"/>
              <w:right w:val="single" w:color="auto" w:sz="4" w:space="0"/>
            </w:tcBorders>
            <w:vAlign w:val="center"/>
          </w:tcPr>
          <w:p>
            <w:pPr>
              <w:jc w:val="center"/>
              <w:rPr>
                <w:rFonts w:cs="Times New Roman"/>
              </w:rPr>
            </w:pPr>
            <w:r>
              <w:rPr>
                <w:rFonts w:hint="eastAsia" w:ascii="宋体" w:hAnsi="宋体" w:cs="宋体"/>
                <w:kern w:val="0"/>
                <w:sz w:val="18"/>
                <w:szCs w:val="18"/>
              </w:rPr>
              <w:t>上杭县工业园</w:t>
            </w:r>
          </w:p>
        </w:tc>
      </w:tr>
      <w:tr>
        <w:trPr>
          <w:trHeight w:val="480" w:hRule="atLeast"/>
        </w:trPr>
        <w:tc>
          <w:tcPr>
            <w:tcW w:w="490" w:type="dxa"/>
            <w:tcBorders>
              <w:top w:val="nil"/>
              <w:left w:val="single" w:color="auto" w:sz="4" w:space="0"/>
              <w:bottom w:val="single" w:color="auto" w:sz="4" w:space="0"/>
              <w:right w:val="single" w:color="auto" w:sz="4" w:space="0"/>
            </w:tcBorders>
            <w:shd w:val="clear" w:color="auto" w:fill="D9D9D9"/>
            <w:vAlign w:val="center"/>
          </w:tcPr>
          <w:p>
            <w:pPr>
              <w:jc w:val="center"/>
              <w:rPr>
                <w:b/>
                <w:bCs/>
                <w:sz w:val="18"/>
                <w:szCs w:val="18"/>
              </w:rPr>
            </w:pPr>
            <w:r>
              <w:rPr>
                <w:b/>
                <w:bCs/>
                <w:sz w:val="18"/>
                <w:szCs w:val="18"/>
              </w:rPr>
              <w:t>121</w:t>
            </w:r>
          </w:p>
        </w:tc>
        <w:tc>
          <w:tcPr>
            <w:tcW w:w="2515" w:type="dxa"/>
            <w:tcBorders>
              <w:top w:val="nil"/>
              <w:left w:val="nil"/>
              <w:bottom w:val="single" w:color="auto" w:sz="4" w:space="0"/>
              <w:right w:val="single" w:color="auto" w:sz="4" w:space="0"/>
            </w:tcBorders>
            <w:vAlign w:val="center"/>
          </w:tcPr>
          <w:p>
            <w:pPr>
              <w:widowControl/>
              <w:jc w:val="left"/>
              <w:rPr>
                <w:rFonts w:ascii="宋体" w:cs="Times New Roman"/>
                <w:kern w:val="0"/>
                <w:sz w:val="18"/>
                <w:szCs w:val="18"/>
              </w:rPr>
            </w:pPr>
            <w:r>
              <w:rPr>
                <w:rFonts w:hint="eastAsia" w:ascii="宋体" w:hAnsi="宋体" w:cs="宋体"/>
                <w:kern w:val="0"/>
                <w:sz w:val="18"/>
                <w:szCs w:val="18"/>
              </w:rPr>
              <w:t>银章银条</w:t>
            </w:r>
          </w:p>
        </w:tc>
        <w:tc>
          <w:tcPr>
            <w:tcW w:w="2332" w:type="dxa"/>
            <w:tcBorders>
              <w:top w:val="nil"/>
              <w:left w:val="nil"/>
              <w:bottom w:val="single" w:color="auto" w:sz="4" w:space="0"/>
              <w:right w:val="single" w:color="auto" w:sz="4" w:space="0"/>
            </w:tcBorders>
            <w:vAlign w:val="center"/>
          </w:tcPr>
          <w:p>
            <w:pPr>
              <w:widowControl/>
              <w:jc w:val="left"/>
              <w:rPr>
                <w:rFonts w:ascii="宋体" w:cs="Times New Roman"/>
                <w:kern w:val="0"/>
                <w:sz w:val="18"/>
                <w:szCs w:val="18"/>
              </w:rPr>
            </w:pPr>
            <w:r>
              <w:rPr>
                <w:rFonts w:hint="eastAsia" w:ascii="宋体" w:hAnsi="宋体" w:cs="宋体"/>
                <w:kern w:val="0"/>
                <w:sz w:val="18"/>
                <w:szCs w:val="18"/>
              </w:rPr>
              <w:t>乾坤金银深圳股份有限公司</w:t>
            </w:r>
            <w:r>
              <w:rPr>
                <w:kern w:val="0"/>
                <w:sz w:val="18"/>
                <w:szCs w:val="18"/>
              </w:rPr>
              <w:t xml:space="preserve">  </w:t>
            </w:r>
          </w:p>
        </w:tc>
        <w:tc>
          <w:tcPr>
            <w:tcW w:w="3476" w:type="dxa"/>
            <w:tcBorders>
              <w:top w:val="nil"/>
              <w:left w:val="nil"/>
              <w:bottom w:val="single" w:color="auto" w:sz="4" w:space="0"/>
              <w:right w:val="single" w:color="auto" w:sz="4" w:space="0"/>
            </w:tcBorders>
            <w:vAlign w:val="center"/>
          </w:tcPr>
          <w:p>
            <w:pPr>
              <w:widowControl/>
              <w:jc w:val="left"/>
              <w:rPr>
                <w:rFonts w:cs="Times New Roman"/>
                <w:kern w:val="0"/>
                <w:sz w:val="18"/>
                <w:szCs w:val="18"/>
              </w:rPr>
            </w:pPr>
            <w:r>
              <w:rPr>
                <w:kern w:val="0"/>
                <w:sz w:val="18"/>
                <w:szCs w:val="18"/>
              </w:rPr>
              <w:t>100</w:t>
            </w:r>
            <w:r>
              <w:rPr>
                <w:rFonts w:hint="eastAsia" w:ascii="宋体" w:hAnsi="宋体" w:cs="宋体"/>
                <w:kern w:val="0"/>
                <w:sz w:val="18"/>
                <w:szCs w:val="18"/>
              </w:rPr>
              <w:t>吨</w:t>
            </w:r>
            <w:r>
              <w:rPr>
                <w:kern w:val="0"/>
                <w:sz w:val="18"/>
                <w:szCs w:val="18"/>
              </w:rPr>
              <w:t>/</w:t>
            </w:r>
            <w:r>
              <w:rPr>
                <w:rFonts w:hint="eastAsia" w:ascii="宋体" w:hAnsi="宋体" w:cs="宋体"/>
                <w:kern w:val="0"/>
                <w:sz w:val="18"/>
                <w:szCs w:val="18"/>
              </w:rPr>
              <w:t>年</w:t>
            </w:r>
          </w:p>
        </w:tc>
        <w:tc>
          <w:tcPr>
            <w:tcW w:w="1149" w:type="dxa"/>
            <w:tcBorders>
              <w:top w:val="nil"/>
              <w:left w:val="nil"/>
              <w:bottom w:val="single" w:color="auto" w:sz="4" w:space="0"/>
              <w:right w:val="single" w:color="auto" w:sz="4" w:space="0"/>
            </w:tcBorders>
            <w:vAlign w:val="center"/>
          </w:tcPr>
          <w:p>
            <w:pPr>
              <w:widowControl/>
              <w:jc w:val="center"/>
              <w:rPr>
                <w:rFonts w:ascii="宋体" w:cs="Times New Roman"/>
                <w:kern w:val="0"/>
                <w:sz w:val="18"/>
                <w:szCs w:val="18"/>
              </w:rPr>
            </w:pPr>
            <w:r>
              <w:rPr>
                <w:rFonts w:ascii="宋体" w:hAnsi="宋体" w:cs="宋体"/>
                <w:kern w:val="0"/>
                <w:sz w:val="18"/>
                <w:szCs w:val="18"/>
              </w:rPr>
              <w:t>2,000</w:t>
            </w:r>
          </w:p>
        </w:tc>
        <w:tc>
          <w:tcPr>
            <w:tcW w:w="1059" w:type="dxa"/>
            <w:tcBorders>
              <w:top w:val="nil"/>
              <w:left w:val="nil"/>
              <w:bottom w:val="single" w:color="auto" w:sz="4" w:space="0"/>
              <w:right w:val="single" w:color="auto" w:sz="4" w:space="0"/>
            </w:tcBorders>
            <w:vAlign w:val="center"/>
          </w:tcPr>
          <w:p>
            <w:pPr>
              <w:widowControl/>
              <w:jc w:val="center"/>
              <w:rPr>
                <w:rFonts w:ascii="宋体" w:cs="Times New Roman"/>
                <w:kern w:val="0"/>
                <w:sz w:val="18"/>
                <w:szCs w:val="18"/>
              </w:rPr>
            </w:pPr>
            <w:r>
              <w:rPr>
                <w:rFonts w:ascii="宋体" w:hAnsi="宋体" w:cs="宋体"/>
                <w:kern w:val="0"/>
                <w:sz w:val="18"/>
                <w:szCs w:val="18"/>
              </w:rPr>
              <w:t>60,400</w:t>
            </w:r>
          </w:p>
        </w:tc>
        <w:tc>
          <w:tcPr>
            <w:tcW w:w="1328" w:type="dxa"/>
            <w:tcBorders>
              <w:top w:val="nil"/>
              <w:left w:val="nil"/>
              <w:bottom w:val="single" w:color="auto" w:sz="4" w:space="0"/>
              <w:right w:val="single" w:color="auto" w:sz="4" w:space="0"/>
            </w:tcBorders>
            <w:vAlign w:val="center"/>
          </w:tcPr>
          <w:p>
            <w:pPr>
              <w:widowControl/>
              <w:jc w:val="center"/>
              <w:rPr>
                <w:rFonts w:ascii="宋体" w:cs="Times New Roman"/>
                <w:kern w:val="0"/>
                <w:sz w:val="18"/>
                <w:szCs w:val="18"/>
              </w:rPr>
            </w:pPr>
            <w:r>
              <w:rPr>
                <w:rFonts w:hint="eastAsia" w:ascii="宋体" w:hAnsi="宋体" w:cs="宋体"/>
                <w:kern w:val="0"/>
                <w:sz w:val="18"/>
                <w:szCs w:val="18"/>
              </w:rPr>
              <w:t>稀贵金属</w:t>
            </w:r>
            <w:r>
              <w:rPr>
                <w:rFonts w:ascii="宋体" w:hAnsi="宋体" w:cs="宋体"/>
                <w:kern w:val="0"/>
                <w:sz w:val="18"/>
                <w:szCs w:val="18"/>
              </w:rPr>
              <w:t>/</w:t>
            </w:r>
            <w:r>
              <w:rPr>
                <w:rFonts w:hint="eastAsia" w:ascii="宋体" w:hAnsi="宋体" w:cs="宋体"/>
                <w:kern w:val="0"/>
                <w:sz w:val="18"/>
                <w:szCs w:val="18"/>
              </w:rPr>
              <w:t>投资品</w:t>
            </w:r>
          </w:p>
        </w:tc>
        <w:tc>
          <w:tcPr>
            <w:tcW w:w="1672" w:type="dxa"/>
            <w:tcBorders>
              <w:top w:val="nil"/>
              <w:left w:val="nil"/>
              <w:bottom w:val="single" w:color="auto" w:sz="4" w:space="0"/>
              <w:right w:val="single" w:color="auto" w:sz="4" w:space="0"/>
            </w:tcBorders>
            <w:vAlign w:val="center"/>
          </w:tcPr>
          <w:p>
            <w:pPr>
              <w:jc w:val="center"/>
              <w:rPr>
                <w:rFonts w:cs="Times New Roman"/>
              </w:rPr>
            </w:pPr>
            <w:r>
              <w:rPr>
                <w:rFonts w:hint="eastAsia" w:ascii="宋体" w:hAnsi="宋体" w:cs="宋体"/>
                <w:kern w:val="0"/>
                <w:sz w:val="18"/>
                <w:szCs w:val="18"/>
              </w:rPr>
              <w:t>上杭县工业园</w:t>
            </w:r>
          </w:p>
        </w:tc>
      </w:tr>
      <w:tr>
        <w:trPr>
          <w:trHeight w:val="480" w:hRule="atLeast"/>
        </w:trPr>
        <w:tc>
          <w:tcPr>
            <w:tcW w:w="490" w:type="dxa"/>
            <w:tcBorders>
              <w:top w:val="nil"/>
              <w:left w:val="single" w:color="auto" w:sz="4" w:space="0"/>
              <w:bottom w:val="single" w:color="auto" w:sz="4" w:space="0"/>
              <w:right w:val="single" w:color="auto" w:sz="4" w:space="0"/>
            </w:tcBorders>
            <w:shd w:val="clear" w:color="auto" w:fill="D9D9D9"/>
            <w:vAlign w:val="center"/>
          </w:tcPr>
          <w:p>
            <w:pPr>
              <w:jc w:val="center"/>
              <w:rPr>
                <w:b/>
                <w:bCs/>
                <w:sz w:val="18"/>
                <w:szCs w:val="18"/>
              </w:rPr>
            </w:pPr>
            <w:r>
              <w:rPr>
                <w:b/>
                <w:bCs/>
                <w:sz w:val="18"/>
                <w:szCs w:val="18"/>
              </w:rPr>
              <w:t>122</w:t>
            </w:r>
          </w:p>
        </w:tc>
        <w:tc>
          <w:tcPr>
            <w:tcW w:w="2515" w:type="dxa"/>
            <w:tcBorders>
              <w:top w:val="nil"/>
              <w:left w:val="nil"/>
              <w:bottom w:val="single" w:color="auto" w:sz="4" w:space="0"/>
              <w:right w:val="single" w:color="auto" w:sz="4" w:space="0"/>
            </w:tcBorders>
            <w:vAlign w:val="center"/>
          </w:tcPr>
          <w:p>
            <w:pPr>
              <w:widowControl/>
              <w:jc w:val="left"/>
              <w:rPr>
                <w:rFonts w:ascii="宋体" w:cs="Times New Roman"/>
                <w:kern w:val="0"/>
                <w:sz w:val="18"/>
                <w:szCs w:val="18"/>
              </w:rPr>
            </w:pPr>
            <w:r>
              <w:rPr>
                <w:rFonts w:hint="eastAsia" w:ascii="宋体" w:hAnsi="宋体" w:cs="宋体"/>
                <w:kern w:val="0"/>
                <w:sz w:val="18"/>
                <w:szCs w:val="18"/>
              </w:rPr>
              <w:t>硝酸银</w:t>
            </w:r>
          </w:p>
        </w:tc>
        <w:tc>
          <w:tcPr>
            <w:tcW w:w="2332" w:type="dxa"/>
            <w:tcBorders>
              <w:top w:val="nil"/>
              <w:left w:val="nil"/>
              <w:bottom w:val="single" w:color="auto" w:sz="4" w:space="0"/>
              <w:right w:val="single" w:color="auto" w:sz="4" w:space="0"/>
            </w:tcBorders>
            <w:vAlign w:val="center"/>
          </w:tcPr>
          <w:p>
            <w:pPr>
              <w:widowControl/>
              <w:jc w:val="left"/>
              <w:rPr>
                <w:rFonts w:ascii="宋体" w:cs="Times New Roman"/>
                <w:kern w:val="0"/>
                <w:sz w:val="18"/>
                <w:szCs w:val="18"/>
              </w:rPr>
            </w:pPr>
            <w:r>
              <w:rPr>
                <w:rFonts w:hint="eastAsia" w:ascii="宋体" w:hAnsi="宋体" w:cs="宋体"/>
                <w:kern w:val="0"/>
                <w:sz w:val="18"/>
                <w:szCs w:val="18"/>
              </w:rPr>
              <w:t>桐柏鑫泓银制品有限责任公司</w:t>
            </w:r>
          </w:p>
        </w:tc>
        <w:tc>
          <w:tcPr>
            <w:tcW w:w="3476" w:type="dxa"/>
            <w:tcBorders>
              <w:top w:val="nil"/>
              <w:left w:val="nil"/>
              <w:bottom w:val="single" w:color="auto" w:sz="4" w:space="0"/>
              <w:right w:val="single" w:color="auto" w:sz="4" w:space="0"/>
            </w:tcBorders>
            <w:vAlign w:val="center"/>
          </w:tcPr>
          <w:p>
            <w:pPr>
              <w:widowControl/>
              <w:jc w:val="left"/>
              <w:rPr>
                <w:rFonts w:cs="Times New Roman"/>
                <w:kern w:val="0"/>
                <w:sz w:val="18"/>
                <w:szCs w:val="18"/>
              </w:rPr>
            </w:pPr>
            <w:r>
              <w:rPr>
                <w:kern w:val="0"/>
                <w:sz w:val="18"/>
                <w:szCs w:val="18"/>
              </w:rPr>
              <w:t>500</w:t>
            </w:r>
            <w:r>
              <w:rPr>
                <w:rFonts w:hint="eastAsia" w:ascii="宋体" w:hAnsi="宋体" w:cs="宋体"/>
                <w:kern w:val="0"/>
                <w:sz w:val="18"/>
                <w:szCs w:val="18"/>
              </w:rPr>
              <w:t>吨</w:t>
            </w:r>
            <w:r>
              <w:rPr>
                <w:kern w:val="0"/>
                <w:sz w:val="18"/>
                <w:szCs w:val="18"/>
              </w:rPr>
              <w:t>/</w:t>
            </w:r>
            <w:r>
              <w:rPr>
                <w:rFonts w:hint="eastAsia" w:ascii="宋体" w:hAnsi="宋体" w:cs="宋体"/>
                <w:kern w:val="0"/>
                <w:sz w:val="18"/>
                <w:szCs w:val="18"/>
              </w:rPr>
              <w:t>年</w:t>
            </w:r>
          </w:p>
        </w:tc>
        <w:tc>
          <w:tcPr>
            <w:tcW w:w="1149" w:type="dxa"/>
            <w:tcBorders>
              <w:top w:val="nil"/>
              <w:left w:val="nil"/>
              <w:bottom w:val="single" w:color="auto" w:sz="4" w:space="0"/>
              <w:right w:val="single" w:color="auto" w:sz="4" w:space="0"/>
            </w:tcBorders>
            <w:vAlign w:val="center"/>
          </w:tcPr>
          <w:p>
            <w:pPr>
              <w:widowControl/>
              <w:jc w:val="center"/>
              <w:rPr>
                <w:rFonts w:ascii="宋体" w:cs="Times New Roman"/>
                <w:kern w:val="0"/>
                <w:sz w:val="18"/>
                <w:szCs w:val="18"/>
              </w:rPr>
            </w:pPr>
            <w:r>
              <w:rPr>
                <w:rFonts w:ascii="宋体" w:hAnsi="宋体" w:cs="宋体"/>
                <w:kern w:val="0"/>
                <w:sz w:val="18"/>
                <w:szCs w:val="18"/>
              </w:rPr>
              <w:t>8,500</w:t>
            </w:r>
          </w:p>
        </w:tc>
        <w:tc>
          <w:tcPr>
            <w:tcW w:w="1059" w:type="dxa"/>
            <w:tcBorders>
              <w:top w:val="nil"/>
              <w:left w:val="nil"/>
              <w:bottom w:val="single" w:color="auto" w:sz="4" w:space="0"/>
              <w:right w:val="single" w:color="auto" w:sz="4" w:space="0"/>
            </w:tcBorders>
            <w:vAlign w:val="center"/>
          </w:tcPr>
          <w:p>
            <w:pPr>
              <w:widowControl/>
              <w:jc w:val="center"/>
              <w:rPr>
                <w:rFonts w:ascii="宋体" w:cs="Times New Roman"/>
                <w:kern w:val="0"/>
                <w:sz w:val="18"/>
                <w:szCs w:val="18"/>
              </w:rPr>
            </w:pPr>
            <w:r>
              <w:rPr>
                <w:rFonts w:ascii="宋体" w:hAnsi="宋体" w:cs="宋体"/>
                <w:kern w:val="0"/>
                <w:sz w:val="18"/>
                <w:szCs w:val="18"/>
              </w:rPr>
              <w:t>193,000</w:t>
            </w:r>
          </w:p>
        </w:tc>
        <w:tc>
          <w:tcPr>
            <w:tcW w:w="1328" w:type="dxa"/>
            <w:tcBorders>
              <w:top w:val="nil"/>
              <w:left w:val="nil"/>
              <w:bottom w:val="single" w:color="auto" w:sz="4" w:space="0"/>
              <w:right w:val="single" w:color="auto" w:sz="4" w:space="0"/>
            </w:tcBorders>
            <w:vAlign w:val="center"/>
          </w:tcPr>
          <w:p>
            <w:pPr>
              <w:widowControl/>
              <w:jc w:val="center"/>
              <w:rPr>
                <w:rFonts w:ascii="宋体" w:cs="Times New Roman"/>
                <w:kern w:val="0"/>
                <w:sz w:val="18"/>
                <w:szCs w:val="18"/>
              </w:rPr>
            </w:pPr>
            <w:r>
              <w:rPr>
                <w:rFonts w:hint="eastAsia" w:ascii="宋体" w:hAnsi="宋体" w:cs="宋体"/>
                <w:kern w:val="0"/>
                <w:sz w:val="18"/>
                <w:szCs w:val="18"/>
              </w:rPr>
              <w:t>稀贵金属</w:t>
            </w:r>
            <w:r>
              <w:rPr>
                <w:rFonts w:ascii="宋体" w:hAnsi="宋体" w:cs="宋体"/>
                <w:kern w:val="0"/>
                <w:sz w:val="18"/>
                <w:szCs w:val="18"/>
              </w:rPr>
              <w:t>/</w:t>
            </w:r>
            <w:r>
              <w:rPr>
                <w:rFonts w:hint="eastAsia" w:ascii="宋体" w:hAnsi="宋体" w:cs="宋体"/>
                <w:kern w:val="0"/>
                <w:sz w:val="18"/>
                <w:szCs w:val="18"/>
              </w:rPr>
              <w:t>电子信息</w:t>
            </w:r>
          </w:p>
        </w:tc>
        <w:tc>
          <w:tcPr>
            <w:tcW w:w="1672" w:type="dxa"/>
            <w:tcBorders>
              <w:top w:val="nil"/>
              <w:left w:val="nil"/>
              <w:bottom w:val="single" w:color="auto" w:sz="4" w:space="0"/>
              <w:right w:val="single" w:color="auto" w:sz="4" w:space="0"/>
            </w:tcBorders>
            <w:vAlign w:val="center"/>
          </w:tcPr>
          <w:p>
            <w:pPr>
              <w:widowControl/>
              <w:jc w:val="center"/>
              <w:rPr>
                <w:rFonts w:ascii="宋体" w:cs="Times New Roman"/>
                <w:kern w:val="0"/>
                <w:sz w:val="18"/>
                <w:szCs w:val="18"/>
              </w:rPr>
            </w:pPr>
            <w:r>
              <w:rPr>
                <w:rFonts w:hint="eastAsia" w:ascii="宋体" w:hAnsi="宋体" w:cs="宋体"/>
                <w:kern w:val="0"/>
                <w:sz w:val="18"/>
                <w:szCs w:val="18"/>
              </w:rPr>
              <w:t>上杭县蛟洋工业园</w:t>
            </w:r>
          </w:p>
        </w:tc>
      </w:tr>
      <w:tr>
        <w:trPr>
          <w:trHeight w:val="204" w:hRule="atLeast"/>
        </w:trPr>
        <w:tc>
          <w:tcPr>
            <w:tcW w:w="490" w:type="dxa"/>
            <w:tcBorders>
              <w:top w:val="nil"/>
              <w:left w:val="single" w:color="auto" w:sz="4" w:space="0"/>
              <w:bottom w:val="single" w:color="auto" w:sz="4" w:space="0"/>
              <w:right w:val="single" w:color="auto" w:sz="4" w:space="0"/>
            </w:tcBorders>
            <w:shd w:val="clear" w:color="auto" w:fill="D9D9D9"/>
            <w:vAlign w:val="center"/>
          </w:tcPr>
          <w:p>
            <w:pPr>
              <w:jc w:val="center"/>
              <w:rPr>
                <w:b/>
                <w:bCs/>
                <w:sz w:val="18"/>
                <w:szCs w:val="18"/>
              </w:rPr>
            </w:pPr>
            <w:r>
              <w:rPr>
                <w:b/>
                <w:bCs/>
                <w:sz w:val="18"/>
                <w:szCs w:val="18"/>
              </w:rPr>
              <w:t>123</w:t>
            </w:r>
          </w:p>
        </w:tc>
        <w:tc>
          <w:tcPr>
            <w:tcW w:w="2515" w:type="dxa"/>
            <w:tcBorders>
              <w:top w:val="nil"/>
              <w:left w:val="nil"/>
              <w:bottom w:val="single" w:color="auto" w:sz="4" w:space="0"/>
              <w:right w:val="single" w:color="auto" w:sz="4" w:space="0"/>
            </w:tcBorders>
            <w:vAlign w:val="center"/>
          </w:tcPr>
          <w:p>
            <w:pPr>
              <w:widowControl/>
              <w:jc w:val="left"/>
              <w:rPr>
                <w:rFonts w:ascii="宋体" w:cs="Times New Roman"/>
                <w:kern w:val="0"/>
                <w:sz w:val="18"/>
                <w:szCs w:val="18"/>
              </w:rPr>
            </w:pPr>
            <w:r>
              <w:rPr>
                <w:rFonts w:hint="eastAsia" w:ascii="宋体" w:hAnsi="宋体" w:cs="宋体"/>
                <w:kern w:val="0"/>
                <w:sz w:val="18"/>
                <w:szCs w:val="18"/>
              </w:rPr>
              <w:t>银粉（电子、光伏、</w:t>
            </w:r>
            <w:r>
              <w:rPr>
                <w:kern w:val="0"/>
                <w:sz w:val="18"/>
                <w:szCs w:val="18"/>
              </w:rPr>
              <w:t>5G</w:t>
            </w:r>
            <w:r>
              <w:rPr>
                <w:rFonts w:hint="eastAsia" w:ascii="宋体" w:hAnsi="宋体" w:cs="宋体"/>
                <w:kern w:val="0"/>
                <w:sz w:val="18"/>
                <w:szCs w:val="18"/>
              </w:rPr>
              <w:t>、纳米银等）</w:t>
            </w:r>
          </w:p>
        </w:tc>
        <w:tc>
          <w:tcPr>
            <w:tcW w:w="2332" w:type="dxa"/>
            <w:tcBorders>
              <w:top w:val="nil"/>
              <w:left w:val="nil"/>
              <w:bottom w:val="single" w:color="auto" w:sz="4" w:space="0"/>
              <w:right w:val="single" w:color="auto" w:sz="4" w:space="0"/>
            </w:tcBorders>
            <w:vAlign w:val="center"/>
          </w:tcPr>
          <w:p>
            <w:pPr>
              <w:widowControl/>
              <w:spacing w:line="240" w:lineRule="exact"/>
              <w:jc w:val="left"/>
              <w:rPr>
                <w:rFonts w:ascii="宋体" w:cs="Times New Roman"/>
                <w:kern w:val="0"/>
                <w:sz w:val="18"/>
                <w:szCs w:val="18"/>
              </w:rPr>
            </w:pPr>
            <w:r>
              <w:rPr>
                <w:rFonts w:hint="eastAsia" w:ascii="宋体" w:hAnsi="宋体" w:cs="宋体"/>
                <w:kern w:val="0"/>
                <w:sz w:val="18"/>
                <w:szCs w:val="18"/>
              </w:rPr>
              <w:t>四川成都市天甫金属粉体公司、溧阳立方贵金属公司、上海交通大学</w:t>
            </w:r>
          </w:p>
        </w:tc>
        <w:tc>
          <w:tcPr>
            <w:tcW w:w="3476" w:type="dxa"/>
            <w:tcBorders>
              <w:top w:val="nil"/>
              <w:left w:val="nil"/>
              <w:bottom w:val="single" w:color="auto" w:sz="4" w:space="0"/>
              <w:right w:val="single" w:color="auto" w:sz="4" w:space="0"/>
            </w:tcBorders>
            <w:vAlign w:val="center"/>
          </w:tcPr>
          <w:p>
            <w:pPr>
              <w:widowControl/>
              <w:jc w:val="left"/>
              <w:rPr>
                <w:rFonts w:cs="Times New Roman"/>
                <w:kern w:val="0"/>
                <w:sz w:val="18"/>
                <w:szCs w:val="18"/>
              </w:rPr>
            </w:pPr>
            <w:r>
              <w:rPr>
                <w:kern w:val="0"/>
                <w:sz w:val="18"/>
                <w:szCs w:val="18"/>
              </w:rPr>
              <w:t>200</w:t>
            </w:r>
            <w:r>
              <w:rPr>
                <w:rFonts w:hint="eastAsia" w:ascii="宋体" w:hAnsi="宋体" w:cs="宋体"/>
                <w:kern w:val="0"/>
                <w:sz w:val="18"/>
                <w:szCs w:val="18"/>
              </w:rPr>
              <w:t>吨</w:t>
            </w:r>
            <w:r>
              <w:rPr>
                <w:kern w:val="0"/>
                <w:sz w:val="18"/>
                <w:szCs w:val="18"/>
              </w:rPr>
              <w:t>/</w:t>
            </w:r>
            <w:r>
              <w:rPr>
                <w:rFonts w:hint="eastAsia" w:ascii="宋体" w:hAnsi="宋体" w:cs="宋体"/>
                <w:kern w:val="0"/>
                <w:sz w:val="18"/>
                <w:szCs w:val="18"/>
              </w:rPr>
              <w:t>年，分两期建设，一期</w:t>
            </w:r>
            <w:r>
              <w:rPr>
                <w:kern w:val="0"/>
                <w:sz w:val="18"/>
                <w:szCs w:val="18"/>
              </w:rPr>
              <w:t>100</w:t>
            </w:r>
            <w:r>
              <w:rPr>
                <w:rFonts w:hint="eastAsia" w:ascii="宋体" w:hAnsi="宋体" w:cs="宋体"/>
                <w:kern w:val="0"/>
                <w:sz w:val="18"/>
                <w:szCs w:val="18"/>
              </w:rPr>
              <w:t>吨</w:t>
            </w:r>
            <w:r>
              <w:rPr>
                <w:kern w:val="0"/>
                <w:sz w:val="18"/>
                <w:szCs w:val="18"/>
              </w:rPr>
              <w:t>/</w:t>
            </w:r>
            <w:r>
              <w:rPr>
                <w:rFonts w:hint="eastAsia" w:ascii="宋体" w:hAnsi="宋体" w:cs="宋体"/>
                <w:kern w:val="0"/>
                <w:sz w:val="18"/>
                <w:szCs w:val="18"/>
              </w:rPr>
              <w:t>年</w:t>
            </w:r>
          </w:p>
        </w:tc>
        <w:tc>
          <w:tcPr>
            <w:tcW w:w="1149" w:type="dxa"/>
            <w:tcBorders>
              <w:top w:val="nil"/>
              <w:left w:val="nil"/>
              <w:bottom w:val="single" w:color="auto" w:sz="4" w:space="0"/>
              <w:right w:val="single" w:color="auto" w:sz="4" w:space="0"/>
            </w:tcBorders>
            <w:vAlign w:val="center"/>
          </w:tcPr>
          <w:p>
            <w:pPr>
              <w:widowControl/>
              <w:jc w:val="center"/>
              <w:rPr>
                <w:rFonts w:ascii="宋体" w:cs="Times New Roman"/>
                <w:kern w:val="0"/>
                <w:sz w:val="18"/>
                <w:szCs w:val="18"/>
              </w:rPr>
            </w:pPr>
            <w:r>
              <w:rPr>
                <w:rFonts w:ascii="宋体" w:hAnsi="宋体" w:cs="宋体"/>
                <w:kern w:val="0"/>
                <w:sz w:val="18"/>
                <w:szCs w:val="18"/>
              </w:rPr>
              <w:t>6,000</w:t>
            </w:r>
          </w:p>
        </w:tc>
        <w:tc>
          <w:tcPr>
            <w:tcW w:w="1059" w:type="dxa"/>
            <w:tcBorders>
              <w:top w:val="nil"/>
              <w:left w:val="nil"/>
              <w:bottom w:val="single" w:color="auto" w:sz="4" w:space="0"/>
              <w:right w:val="single" w:color="auto" w:sz="4" w:space="0"/>
            </w:tcBorders>
            <w:vAlign w:val="center"/>
          </w:tcPr>
          <w:p>
            <w:pPr>
              <w:widowControl/>
              <w:jc w:val="center"/>
              <w:rPr>
                <w:rFonts w:ascii="宋体" w:cs="Times New Roman"/>
                <w:kern w:val="0"/>
                <w:sz w:val="18"/>
                <w:szCs w:val="18"/>
              </w:rPr>
            </w:pPr>
            <w:r>
              <w:rPr>
                <w:rFonts w:ascii="宋体" w:hAnsi="宋体" w:cs="宋体"/>
                <w:kern w:val="0"/>
                <w:sz w:val="18"/>
                <w:szCs w:val="18"/>
              </w:rPr>
              <w:t>126,000</w:t>
            </w:r>
          </w:p>
        </w:tc>
        <w:tc>
          <w:tcPr>
            <w:tcW w:w="1328" w:type="dxa"/>
            <w:tcBorders>
              <w:top w:val="nil"/>
              <w:left w:val="nil"/>
              <w:bottom w:val="single" w:color="auto" w:sz="4" w:space="0"/>
              <w:right w:val="single" w:color="auto" w:sz="4" w:space="0"/>
            </w:tcBorders>
            <w:vAlign w:val="center"/>
          </w:tcPr>
          <w:p>
            <w:pPr>
              <w:widowControl/>
              <w:jc w:val="center"/>
              <w:rPr>
                <w:rFonts w:ascii="宋体" w:cs="Times New Roman"/>
                <w:kern w:val="0"/>
                <w:sz w:val="18"/>
                <w:szCs w:val="18"/>
              </w:rPr>
            </w:pPr>
            <w:r>
              <w:rPr>
                <w:rFonts w:hint="eastAsia" w:ascii="宋体" w:hAnsi="宋体" w:cs="宋体"/>
                <w:kern w:val="0"/>
                <w:sz w:val="18"/>
                <w:szCs w:val="18"/>
              </w:rPr>
              <w:t>稀贵金属</w:t>
            </w:r>
            <w:r>
              <w:rPr>
                <w:rFonts w:ascii="宋体" w:hAnsi="宋体" w:cs="宋体"/>
                <w:kern w:val="0"/>
                <w:sz w:val="18"/>
                <w:szCs w:val="18"/>
              </w:rPr>
              <w:t>/</w:t>
            </w:r>
            <w:r>
              <w:rPr>
                <w:rFonts w:hint="eastAsia" w:ascii="宋体" w:hAnsi="宋体" w:cs="宋体"/>
                <w:kern w:val="0"/>
                <w:sz w:val="18"/>
                <w:szCs w:val="18"/>
              </w:rPr>
              <w:t>电子信息</w:t>
            </w:r>
          </w:p>
        </w:tc>
        <w:tc>
          <w:tcPr>
            <w:tcW w:w="1672" w:type="dxa"/>
            <w:tcBorders>
              <w:top w:val="nil"/>
              <w:left w:val="nil"/>
              <w:bottom w:val="single" w:color="auto" w:sz="4" w:space="0"/>
              <w:right w:val="single" w:color="auto" w:sz="4" w:space="0"/>
            </w:tcBorders>
            <w:vAlign w:val="center"/>
          </w:tcPr>
          <w:p>
            <w:pPr>
              <w:widowControl/>
              <w:jc w:val="center"/>
              <w:rPr>
                <w:rFonts w:ascii="宋体" w:cs="Times New Roman"/>
                <w:kern w:val="0"/>
                <w:sz w:val="18"/>
                <w:szCs w:val="18"/>
              </w:rPr>
            </w:pPr>
            <w:r>
              <w:rPr>
                <w:rFonts w:hint="eastAsia" w:ascii="宋体" w:hAnsi="宋体" w:cs="宋体"/>
                <w:kern w:val="0"/>
                <w:sz w:val="18"/>
                <w:szCs w:val="18"/>
              </w:rPr>
              <w:t>上杭县蛟洋工业园</w:t>
            </w:r>
          </w:p>
        </w:tc>
      </w:tr>
      <w:tr>
        <w:trPr>
          <w:trHeight w:val="720" w:hRule="atLeast"/>
        </w:trPr>
        <w:tc>
          <w:tcPr>
            <w:tcW w:w="490" w:type="dxa"/>
            <w:tcBorders>
              <w:top w:val="nil"/>
              <w:left w:val="single" w:color="auto" w:sz="4" w:space="0"/>
              <w:bottom w:val="single" w:color="auto" w:sz="4" w:space="0"/>
              <w:right w:val="single" w:color="auto" w:sz="4" w:space="0"/>
            </w:tcBorders>
            <w:shd w:val="clear" w:color="auto" w:fill="D9D9D9"/>
            <w:vAlign w:val="center"/>
          </w:tcPr>
          <w:p>
            <w:pPr>
              <w:jc w:val="center"/>
              <w:rPr>
                <w:b/>
                <w:bCs/>
                <w:sz w:val="18"/>
                <w:szCs w:val="18"/>
              </w:rPr>
            </w:pPr>
            <w:r>
              <w:rPr>
                <w:b/>
                <w:bCs/>
                <w:sz w:val="18"/>
                <w:szCs w:val="18"/>
              </w:rPr>
              <w:t>124</w:t>
            </w:r>
          </w:p>
        </w:tc>
        <w:tc>
          <w:tcPr>
            <w:tcW w:w="2515" w:type="dxa"/>
            <w:tcBorders>
              <w:top w:val="nil"/>
              <w:left w:val="nil"/>
              <w:bottom w:val="single" w:color="auto" w:sz="4" w:space="0"/>
              <w:right w:val="single" w:color="auto" w:sz="4" w:space="0"/>
            </w:tcBorders>
            <w:vAlign w:val="center"/>
          </w:tcPr>
          <w:p>
            <w:pPr>
              <w:widowControl/>
              <w:jc w:val="left"/>
              <w:rPr>
                <w:rFonts w:ascii="宋体" w:cs="Times New Roman"/>
                <w:kern w:val="0"/>
                <w:sz w:val="18"/>
                <w:szCs w:val="18"/>
              </w:rPr>
            </w:pPr>
            <w:r>
              <w:rPr>
                <w:rFonts w:hint="eastAsia" w:ascii="宋体" w:hAnsi="宋体" w:cs="宋体"/>
                <w:kern w:val="0"/>
                <w:sz w:val="18"/>
                <w:szCs w:val="18"/>
              </w:rPr>
              <w:t>银铜合金</w:t>
            </w:r>
          </w:p>
        </w:tc>
        <w:tc>
          <w:tcPr>
            <w:tcW w:w="2332" w:type="dxa"/>
            <w:tcBorders>
              <w:top w:val="nil"/>
              <w:left w:val="nil"/>
              <w:bottom w:val="single" w:color="auto" w:sz="4" w:space="0"/>
              <w:right w:val="single" w:color="auto" w:sz="4" w:space="0"/>
            </w:tcBorders>
            <w:vAlign w:val="center"/>
          </w:tcPr>
          <w:p>
            <w:pPr>
              <w:widowControl/>
              <w:spacing w:line="240" w:lineRule="exact"/>
              <w:jc w:val="left"/>
              <w:rPr>
                <w:rFonts w:ascii="宋体" w:cs="Times New Roman"/>
                <w:kern w:val="0"/>
                <w:sz w:val="18"/>
                <w:szCs w:val="18"/>
              </w:rPr>
            </w:pPr>
            <w:r>
              <w:rPr>
                <w:rFonts w:hint="eastAsia" w:ascii="宋体" w:hAnsi="宋体" w:cs="宋体"/>
                <w:kern w:val="0"/>
                <w:sz w:val="18"/>
                <w:szCs w:val="18"/>
              </w:rPr>
              <w:t>郑州机械研究所新型钎焊材料与技术国家重点实验室、郑州豪诺焊接材料有限公司</w:t>
            </w:r>
          </w:p>
        </w:tc>
        <w:tc>
          <w:tcPr>
            <w:tcW w:w="3476" w:type="dxa"/>
            <w:tcBorders>
              <w:top w:val="nil"/>
              <w:left w:val="nil"/>
              <w:bottom w:val="single" w:color="auto" w:sz="4" w:space="0"/>
              <w:right w:val="single" w:color="auto" w:sz="4" w:space="0"/>
            </w:tcBorders>
            <w:vAlign w:val="center"/>
          </w:tcPr>
          <w:p>
            <w:pPr>
              <w:widowControl/>
              <w:jc w:val="left"/>
              <w:rPr>
                <w:rFonts w:cs="Times New Roman"/>
                <w:kern w:val="0"/>
                <w:sz w:val="18"/>
                <w:szCs w:val="18"/>
              </w:rPr>
            </w:pPr>
            <w:r>
              <w:rPr>
                <w:kern w:val="0"/>
                <w:sz w:val="18"/>
                <w:szCs w:val="18"/>
              </w:rPr>
              <w:t>200</w:t>
            </w:r>
            <w:r>
              <w:rPr>
                <w:rFonts w:hint="eastAsia" w:ascii="宋体" w:hAnsi="宋体" w:cs="宋体"/>
                <w:kern w:val="0"/>
                <w:sz w:val="18"/>
                <w:szCs w:val="18"/>
              </w:rPr>
              <w:t>吨</w:t>
            </w:r>
            <w:r>
              <w:rPr>
                <w:kern w:val="0"/>
                <w:sz w:val="18"/>
                <w:szCs w:val="18"/>
              </w:rPr>
              <w:t>/</w:t>
            </w:r>
            <w:r>
              <w:rPr>
                <w:rFonts w:hint="eastAsia" w:ascii="宋体" w:hAnsi="宋体" w:cs="宋体"/>
                <w:kern w:val="0"/>
                <w:sz w:val="18"/>
                <w:szCs w:val="18"/>
              </w:rPr>
              <w:t>年</w:t>
            </w:r>
          </w:p>
        </w:tc>
        <w:tc>
          <w:tcPr>
            <w:tcW w:w="1149" w:type="dxa"/>
            <w:tcBorders>
              <w:top w:val="nil"/>
              <w:left w:val="nil"/>
              <w:bottom w:val="single" w:color="auto" w:sz="4" w:space="0"/>
              <w:right w:val="single" w:color="auto" w:sz="4" w:space="0"/>
            </w:tcBorders>
            <w:vAlign w:val="center"/>
          </w:tcPr>
          <w:p>
            <w:pPr>
              <w:widowControl/>
              <w:jc w:val="center"/>
              <w:rPr>
                <w:rFonts w:ascii="宋体" w:cs="Times New Roman"/>
                <w:kern w:val="0"/>
                <w:sz w:val="18"/>
                <w:szCs w:val="18"/>
              </w:rPr>
            </w:pPr>
            <w:r>
              <w:rPr>
                <w:rFonts w:ascii="宋体" w:hAnsi="宋体" w:cs="宋体"/>
                <w:kern w:val="0"/>
                <w:sz w:val="18"/>
                <w:szCs w:val="18"/>
              </w:rPr>
              <w:t>6,000</w:t>
            </w:r>
          </w:p>
        </w:tc>
        <w:tc>
          <w:tcPr>
            <w:tcW w:w="1059" w:type="dxa"/>
            <w:tcBorders>
              <w:top w:val="nil"/>
              <w:left w:val="nil"/>
              <w:bottom w:val="single" w:color="auto" w:sz="4" w:space="0"/>
              <w:right w:val="single" w:color="auto" w:sz="4" w:space="0"/>
            </w:tcBorders>
            <w:vAlign w:val="center"/>
          </w:tcPr>
          <w:p>
            <w:pPr>
              <w:widowControl/>
              <w:jc w:val="center"/>
              <w:rPr>
                <w:rFonts w:ascii="宋体" w:cs="Times New Roman"/>
                <w:kern w:val="0"/>
                <w:sz w:val="18"/>
                <w:szCs w:val="18"/>
              </w:rPr>
            </w:pPr>
            <w:r>
              <w:rPr>
                <w:rFonts w:ascii="宋体" w:hAnsi="宋体" w:cs="宋体"/>
                <w:kern w:val="0"/>
                <w:sz w:val="18"/>
                <w:szCs w:val="18"/>
              </w:rPr>
              <w:t>36,000</w:t>
            </w:r>
          </w:p>
        </w:tc>
        <w:tc>
          <w:tcPr>
            <w:tcW w:w="1328" w:type="dxa"/>
            <w:tcBorders>
              <w:top w:val="nil"/>
              <w:left w:val="nil"/>
              <w:bottom w:val="single" w:color="auto" w:sz="4" w:space="0"/>
              <w:right w:val="single" w:color="auto" w:sz="4" w:space="0"/>
            </w:tcBorders>
            <w:vAlign w:val="center"/>
          </w:tcPr>
          <w:p>
            <w:pPr>
              <w:widowControl/>
              <w:jc w:val="center"/>
              <w:rPr>
                <w:rFonts w:ascii="宋体" w:cs="Times New Roman"/>
                <w:kern w:val="0"/>
                <w:sz w:val="18"/>
                <w:szCs w:val="18"/>
              </w:rPr>
            </w:pPr>
            <w:r>
              <w:rPr>
                <w:rFonts w:hint="eastAsia" w:ascii="宋体" w:hAnsi="宋体" w:cs="宋体"/>
                <w:kern w:val="0"/>
                <w:sz w:val="18"/>
                <w:szCs w:val="18"/>
              </w:rPr>
              <w:t>稀贵金属</w:t>
            </w:r>
          </w:p>
        </w:tc>
        <w:tc>
          <w:tcPr>
            <w:tcW w:w="1672" w:type="dxa"/>
            <w:tcBorders>
              <w:top w:val="nil"/>
              <w:left w:val="nil"/>
              <w:bottom w:val="single" w:color="auto" w:sz="4" w:space="0"/>
              <w:right w:val="single" w:color="auto" w:sz="4" w:space="0"/>
            </w:tcBorders>
            <w:vAlign w:val="center"/>
          </w:tcPr>
          <w:p>
            <w:pPr>
              <w:jc w:val="center"/>
              <w:rPr>
                <w:rFonts w:cs="Times New Roman"/>
              </w:rPr>
            </w:pPr>
            <w:r>
              <w:rPr>
                <w:rFonts w:hint="eastAsia" w:ascii="宋体" w:hAnsi="宋体" w:cs="宋体"/>
                <w:kern w:val="0"/>
                <w:sz w:val="18"/>
                <w:szCs w:val="18"/>
              </w:rPr>
              <w:t>上杭县工业园</w:t>
            </w:r>
          </w:p>
        </w:tc>
      </w:tr>
      <w:tr>
        <w:trPr>
          <w:trHeight w:val="480" w:hRule="atLeast"/>
        </w:trPr>
        <w:tc>
          <w:tcPr>
            <w:tcW w:w="490" w:type="dxa"/>
            <w:tcBorders>
              <w:top w:val="nil"/>
              <w:left w:val="single" w:color="auto" w:sz="4" w:space="0"/>
              <w:bottom w:val="single" w:color="auto" w:sz="4" w:space="0"/>
              <w:right w:val="single" w:color="auto" w:sz="4" w:space="0"/>
            </w:tcBorders>
            <w:shd w:val="clear" w:color="auto" w:fill="D9D9D9"/>
            <w:vAlign w:val="center"/>
          </w:tcPr>
          <w:p>
            <w:pPr>
              <w:jc w:val="center"/>
              <w:rPr>
                <w:b/>
                <w:bCs/>
                <w:sz w:val="18"/>
                <w:szCs w:val="18"/>
              </w:rPr>
            </w:pPr>
            <w:r>
              <w:rPr>
                <w:b/>
                <w:bCs/>
                <w:sz w:val="18"/>
                <w:szCs w:val="18"/>
              </w:rPr>
              <w:t>125</w:t>
            </w:r>
          </w:p>
        </w:tc>
        <w:tc>
          <w:tcPr>
            <w:tcW w:w="2515" w:type="dxa"/>
            <w:tcBorders>
              <w:top w:val="nil"/>
              <w:left w:val="nil"/>
              <w:bottom w:val="single" w:color="auto" w:sz="4" w:space="0"/>
              <w:right w:val="single" w:color="auto" w:sz="4" w:space="0"/>
            </w:tcBorders>
            <w:vAlign w:val="center"/>
          </w:tcPr>
          <w:p>
            <w:pPr>
              <w:widowControl/>
              <w:jc w:val="left"/>
              <w:rPr>
                <w:rFonts w:ascii="宋体" w:cs="Times New Roman"/>
                <w:kern w:val="0"/>
                <w:sz w:val="18"/>
                <w:szCs w:val="18"/>
              </w:rPr>
            </w:pPr>
            <w:r>
              <w:rPr>
                <w:rFonts w:hint="eastAsia" w:ascii="宋体" w:hAnsi="宋体" w:cs="宋体"/>
                <w:kern w:val="0"/>
                <w:sz w:val="18"/>
                <w:szCs w:val="18"/>
              </w:rPr>
              <w:t>银靶材</w:t>
            </w:r>
          </w:p>
        </w:tc>
        <w:tc>
          <w:tcPr>
            <w:tcW w:w="2332" w:type="dxa"/>
            <w:tcBorders>
              <w:top w:val="nil"/>
              <w:left w:val="nil"/>
              <w:bottom w:val="single" w:color="auto" w:sz="4" w:space="0"/>
              <w:right w:val="single" w:color="auto" w:sz="4" w:space="0"/>
            </w:tcBorders>
            <w:vAlign w:val="center"/>
          </w:tcPr>
          <w:p>
            <w:pPr>
              <w:widowControl/>
              <w:jc w:val="left"/>
              <w:rPr>
                <w:rFonts w:ascii="宋体" w:cs="Times New Roman"/>
                <w:kern w:val="0"/>
                <w:sz w:val="18"/>
                <w:szCs w:val="18"/>
              </w:rPr>
            </w:pPr>
            <w:r>
              <w:rPr>
                <w:rFonts w:hint="eastAsia" w:ascii="宋体" w:hAnsi="宋体" w:cs="宋体"/>
                <w:kern w:val="0"/>
                <w:sz w:val="18"/>
                <w:szCs w:val="18"/>
              </w:rPr>
              <w:t>光洋化学应用材料科技（昆山）有限公司</w:t>
            </w:r>
          </w:p>
        </w:tc>
        <w:tc>
          <w:tcPr>
            <w:tcW w:w="3476" w:type="dxa"/>
            <w:tcBorders>
              <w:top w:val="nil"/>
              <w:left w:val="nil"/>
              <w:bottom w:val="single" w:color="auto" w:sz="4" w:space="0"/>
              <w:right w:val="single" w:color="auto" w:sz="4" w:space="0"/>
            </w:tcBorders>
            <w:vAlign w:val="center"/>
          </w:tcPr>
          <w:p>
            <w:pPr>
              <w:widowControl/>
              <w:jc w:val="left"/>
              <w:rPr>
                <w:rFonts w:cs="Times New Roman"/>
                <w:kern w:val="0"/>
                <w:sz w:val="18"/>
                <w:szCs w:val="18"/>
              </w:rPr>
            </w:pPr>
            <w:r>
              <w:rPr>
                <w:kern w:val="0"/>
                <w:sz w:val="18"/>
                <w:szCs w:val="18"/>
              </w:rPr>
              <w:t>10</w:t>
            </w:r>
            <w:r>
              <w:rPr>
                <w:rFonts w:hint="eastAsia" w:ascii="宋体" w:hAnsi="宋体" w:cs="宋体"/>
                <w:kern w:val="0"/>
                <w:sz w:val="18"/>
                <w:szCs w:val="18"/>
              </w:rPr>
              <w:t>吨</w:t>
            </w:r>
            <w:r>
              <w:rPr>
                <w:kern w:val="0"/>
                <w:sz w:val="18"/>
                <w:szCs w:val="18"/>
              </w:rPr>
              <w:t>/</w:t>
            </w:r>
            <w:r>
              <w:rPr>
                <w:rFonts w:hint="eastAsia" w:ascii="宋体" w:hAnsi="宋体" w:cs="宋体"/>
                <w:kern w:val="0"/>
                <w:sz w:val="18"/>
                <w:szCs w:val="18"/>
              </w:rPr>
              <w:t>年</w:t>
            </w:r>
          </w:p>
        </w:tc>
        <w:tc>
          <w:tcPr>
            <w:tcW w:w="1149" w:type="dxa"/>
            <w:tcBorders>
              <w:top w:val="nil"/>
              <w:left w:val="nil"/>
              <w:bottom w:val="single" w:color="auto" w:sz="4" w:space="0"/>
              <w:right w:val="single" w:color="auto" w:sz="4" w:space="0"/>
            </w:tcBorders>
            <w:vAlign w:val="center"/>
          </w:tcPr>
          <w:p>
            <w:pPr>
              <w:widowControl/>
              <w:jc w:val="center"/>
              <w:rPr>
                <w:rFonts w:ascii="宋体" w:cs="Times New Roman"/>
                <w:kern w:val="0"/>
                <w:sz w:val="18"/>
                <w:szCs w:val="18"/>
              </w:rPr>
            </w:pPr>
            <w:r>
              <w:rPr>
                <w:rFonts w:ascii="宋体" w:hAnsi="宋体" w:cs="宋体"/>
                <w:kern w:val="0"/>
                <w:sz w:val="18"/>
                <w:szCs w:val="18"/>
              </w:rPr>
              <w:t>2,000</w:t>
            </w:r>
          </w:p>
        </w:tc>
        <w:tc>
          <w:tcPr>
            <w:tcW w:w="1059" w:type="dxa"/>
            <w:tcBorders>
              <w:top w:val="nil"/>
              <w:left w:val="nil"/>
              <w:bottom w:val="single" w:color="auto" w:sz="4" w:space="0"/>
              <w:right w:val="single" w:color="auto" w:sz="4" w:space="0"/>
            </w:tcBorders>
            <w:vAlign w:val="center"/>
          </w:tcPr>
          <w:p>
            <w:pPr>
              <w:widowControl/>
              <w:jc w:val="center"/>
              <w:rPr>
                <w:rFonts w:ascii="宋体" w:cs="Times New Roman"/>
                <w:kern w:val="0"/>
                <w:sz w:val="18"/>
                <w:szCs w:val="18"/>
              </w:rPr>
            </w:pPr>
            <w:r>
              <w:rPr>
                <w:rFonts w:ascii="宋体" w:hAnsi="宋体" w:cs="宋体"/>
                <w:kern w:val="0"/>
                <w:sz w:val="18"/>
                <w:szCs w:val="18"/>
              </w:rPr>
              <w:t>7,000</w:t>
            </w:r>
          </w:p>
        </w:tc>
        <w:tc>
          <w:tcPr>
            <w:tcW w:w="1328" w:type="dxa"/>
            <w:tcBorders>
              <w:top w:val="nil"/>
              <w:left w:val="nil"/>
              <w:bottom w:val="single" w:color="auto" w:sz="4" w:space="0"/>
              <w:right w:val="single" w:color="auto" w:sz="4" w:space="0"/>
            </w:tcBorders>
            <w:vAlign w:val="center"/>
          </w:tcPr>
          <w:p>
            <w:pPr>
              <w:widowControl/>
              <w:jc w:val="center"/>
              <w:rPr>
                <w:rFonts w:ascii="宋体" w:cs="Times New Roman"/>
                <w:kern w:val="0"/>
                <w:sz w:val="18"/>
                <w:szCs w:val="18"/>
              </w:rPr>
            </w:pPr>
            <w:r>
              <w:rPr>
                <w:rFonts w:hint="eastAsia" w:ascii="宋体" w:hAnsi="宋体" w:cs="宋体"/>
                <w:kern w:val="0"/>
                <w:sz w:val="18"/>
                <w:szCs w:val="18"/>
              </w:rPr>
              <w:t>稀贵金属</w:t>
            </w:r>
            <w:r>
              <w:rPr>
                <w:rFonts w:ascii="宋体" w:hAnsi="宋体" w:cs="宋体"/>
                <w:kern w:val="0"/>
                <w:sz w:val="18"/>
                <w:szCs w:val="18"/>
              </w:rPr>
              <w:t>/</w:t>
            </w:r>
            <w:r>
              <w:rPr>
                <w:rFonts w:hint="eastAsia" w:ascii="宋体" w:hAnsi="宋体" w:cs="宋体"/>
                <w:kern w:val="0"/>
                <w:sz w:val="18"/>
                <w:szCs w:val="18"/>
              </w:rPr>
              <w:t>电子信息</w:t>
            </w:r>
          </w:p>
        </w:tc>
        <w:tc>
          <w:tcPr>
            <w:tcW w:w="1672" w:type="dxa"/>
            <w:tcBorders>
              <w:top w:val="nil"/>
              <w:left w:val="nil"/>
              <w:bottom w:val="single" w:color="auto" w:sz="4" w:space="0"/>
              <w:right w:val="single" w:color="auto" w:sz="4" w:space="0"/>
            </w:tcBorders>
            <w:vAlign w:val="center"/>
          </w:tcPr>
          <w:p>
            <w:pPr>
              <w:jc w:val="center"/>
              <w:rPr>
                <w:rFonts w:cs="Times New Roman"/>
              </w:rPr>
            </w:pPr>
            <w:r>
              <w:rPr>
                <w:rFonts w:hint="eastAsia" w:ascii="宋体" w:hAnsi="宋体" w:cs="宋体"/>
                <w:kern w:val="0"/>
                <w:sz w:val="18"/>
                <w:szCs w:val="18"/>
              </w:rPr>
              <w:t>上杭县工业园</w:t>
            </w:r>
          </w:p>
        </w:tc>
      </w:tr>
      <w:tr>
        <w:trPr>
          <w:trHeight w:val="480" w:hRule="atLeast"/>
        </w:trPr>
        <w:tc>
          <w:tcPr>
            <w:tcW w:w="490" w:type="dxa"/>
            <w:tcBorders>
              <w:top w:val="nil"/>
              <w:left w:val="single" w:color="auto" w:sz="4" w:space="0"/>
              <w:bottom w:val="single" w:color="auto" w:sz="4" w:space="0"/>
              <w:right w:val="single" w:color="auto" w:sz="4" w:space="0"/>
            </w:tcBorders>
            <w:shd w:val="clear" w:color="auto" w:fill="D9D9D9"/>
            <w:vAlign w:val="center"/>
          </w:tcPr>
          <w:p>
            <w:pPr>
              <w:jc w:val="center"/>
              <w:rPr>
                <w:b/>
                <w:bCs/>
                <w:sz w:val="18"/>
                <w:szCs w:val="18"/>
              </w:rPr>
            </w:pPr>
            <w:r>
              <w:rPr>
                <w:b/>
                <w:bCs/>
                <w:sz w:val="18"/>
                <w:szCs w:val="18"/>
              </w:rPr>
              <w:t>126</w:t>
            </w:r>
          </w:p>
        </w:tc>
        <w:tc>
          <w:tcPr>
            <w:tcW w:w="2515" w:type="dxa"/>
            <w:tcBorders>
              <w:top w:val="nil"/>
              <w:left w:val="nil"/>
              <w:bottom w:val="single" w:color="auto" w:sz="4" w:space="0"/>
              <w:right w:val="single" w:color="auto" w:sz="4" w:space="0"/>
            </w:tcBorders>
            <w:vAlign w:val="center"/>
          </w:tcPr>
          <w:p>
            <w:pPr>
              <w:widowControl/>
              <w:jc w:val="left"/>
              <w:rPr>
                <w:rFonts w:ascii="宋体" w:cs="Times New Roman"/>
                <w:kern w:val="0"/>
                <w:sz w:val="18"/>
                <w:szCs w:val="18"/>
              </w:rPr>
            </w:pPr>
            <w:r>
              <w:rPr>
                <w:rFonts w:hint="eastAsia" w:ascii="宋体" w:hAnsi="宋体" w:cs="宋体"/>
                <w:kern w:val="0"/>
                <w:sz w:val="18"/>
                <w:szCs w:val="18"/>
              </w:rPr>
              <w:t>银系抗菌剂</w:t>
            </w:r>
          </w:p>
        </w:tc>
        <w:tc>
          <w:tcPr>
            <w:tcW w:w="2332" w:type="dxa"/>
            <w:tcBorders>
              <w:top w:val="nil"/>
              <w:left w:val="nil"/>
              <w:bottom w:val="single" w:color="auto" w:sz="4" w:space="0"/>
              <w:right w:val="single" w:color="auto" w:sz="4" w:space="0"/>
            </w:tcBorders>
            <w:vAlign w:val="center"/>
          </w:tcPr>
          <w:p>
            <w:pPr>
              <w:widowControl/>
              <w:jc w:val="left"/>
              <w:rPr>
                <w:rFonts w:ascii="宋体" w:cs="Times New Roman"/>
                <w:kern w:val="0"/>
                <w:sz w:val="18"/>
                <w:szCs w:val="18"/>
              </w:rPr>
            </w:pPr>
            <w:r>
              <w:rPr>
                <w:rFonts w:hint="eastAsia" w:ascii="宋体" w:hAnsi="宋体" w:cs="宋体"/>
                <w:kern w:val="0"/>
                <w:sz w:val="18"/>
                <w:szCs w:val="18"/>
              </w:rPr>
              <w:t>中科院理化所工程塑料国家工程研究中心</w:t>
            </w:r>
          </w:p>
        </w:tc>
        <w:tc>
          <w:tcPr>
            <w:tcW w:w="3476" w:type="dxa"/>
            <w:tcBorders>
              <w:top w:val="nil"/>
              <w:left w:val="nil"/>
              <w:bottom w:val="single" w:color="auto" w:sz="4" w:space="0"/>
              <w:right w:val="single" w:color="auto" w:sz="4" w:space="0"/>
            </w:tcBorders>
            <w:vAlign w:val="center"/>
          </w:tcPr>
          <w:p>
            <w:pPr>
              <w:widowControl/>
              <w:jc w:val="left"/>
              <w:rPr>
                <w:rFonts w:cs="Times New Roman"/>
                <w:kern w:val="0"/>
                <w:sz w:val="18"/>
                <w:szCs w:val="18"/>
              </w:rPr>
            </w:pPr>
            <w:r>
              <w:rPr>
                <w:kern w:val="0"/>
                <w:sz w:val="18"/>
                <w:szCs w:val="18"/>
              </w:rPr>
              <w:t>250</w:t>
            </w:r>
            <w:r>
              <w:rPr>
                <w:rFonts w:hint="eastAsia" w:ascii="宋体" w:hAnsi="宋体" w:cs="宋体"/>
                <w:kern w:val="0"/>
                <w:sz w:val="18"/>
                <w:szCs w:val="18"/>
              </w:rPr>
              <w:t>吨</w:t>
            </w:r>
            <w:r>
              <w:rPr>
                <w:kern w:val="0"/>
                <w:sz w:val="18"/>
                <w:szCs w:val="18"/>
              </w:rPr>
              <w:t>/</w:t>
            </w:r>
            <w:r>
              <w:rPr>
                <w:rFonts w:hint="eastAsia" w:ascii="宋体" w:hAnsi="宋体" w:cs="宋体"/>
                <w:kern w:val="0"/>
                <w:sz w:val="18"/>
                <w:szCs w:val="18"/>
              </w:rPr>
              <w:t>年，分两期，一期</w:t>
            </w:r>
            <w:r>
              <w:rPr>
                <w:kern w:val="0"/>
                <w:sz w:val="18"/>
                <w:szCs w:val="18"/>
              </w:rPr>
              <w:t>50</w:t>
            </w:r>
            <w:r>
              <w:rPr>
                <w:rFonts w:hint="eastAsia" w:ascii="宋体" w:hAnsi="宋体" w:cs="宋体"/>
                <w:kern w:val="0"/>
                <w:sz w:val="18"/>
                <w:szCs w:val="18"/>
              </w:rPr>
              <w:t>吨</w:t>
            </w:r>
          </w:p>
        </w:tc>
        <w:tc>
          <w:tcPr>
            <w:tcW w:w="1149" w:type="dxa"/>
            <w:tcBorders>
              <w:top w:val="nil"/>
              <w:left w:val="nil"/>
              <w:bottom w:val="single" w:color="auto" w:sz="4" w:space="0"/>
              <w:right w:val="single" w:color="auto" w:sz="4" w:space="0"/>
            </w:tcBorders>
            <w:vAlign w:val="center"/>
          </w:tcPr>
          <w:p>
            <w:pPr>
              <w:widowControl/>
              <w:jc w:val="center"/>
              <w:rPr>
                <w:rFonts w:ascii="宋体" w:cs="Times New Roman"/>
                <w:kern w:val="0"/>
                <w:sz w:val="18"/>
                <w:szCs w:val="18"/>
              </w:rPr>
            </w:pPr>
            <w:r>
              <w:rPr>
                <w:rFonts w:ascii="宋体" w:hAnsi="宋体" w:cs="宋体"/>
                <w:kern w:val="0"/>
                <w:sz w:val="18"/>
                <w:szCs w:val="18"/>
              </w:rPr>
              <w:t>5,000</w:t>
            </w:r>
          </w:p>
        </w:tc>
        <w:tc>
          <w:tcPr>
            <w:tcW w:w="1059" w:type="dxa"/>
            <w:tcBorders>
              <w:top w:val="nil"/>
              <w:left w:val="nil"/>
              <w:bottom w:val="single" w:color="auto" w:sz="4" w:space="0"/>
              <w:right w:val="single" w:color="auto" w:sz="4" w:space="0"/>
            </w:tcBorders>
            <w:vAlign w:val="center"/>
          </w:tcPr>
          <w:p>
            <w:pPr>
              <w:widowControl/>
              <w:jc w:val="center"/>
              <w:rPr>
                <w:rFonts w:ascii="宋体" w:cs="Times New Roman"/>
                <w:kern w:val="0"/>
                <w:sz w:val="18"/>
                <w:szCs w:val="18"/>
              </w:rPr>
            </w:pPr>
            <w:r>
              <w:rPr>
                <w:rFonts w:ascii="宋体" w:hAnsi="宋体" w:cs="宋体"/>
                <w:kern w:val="0"/>
                <w:sz w:val="18"/>
                <w:szCs w:val="18"/>
              </w:rPr>
              <w:t>15,000</w:t>
            </w:r>
          </w:p>
        </w:tc>
        <w:tc>
          <w:tcPr>
            <w:tcW w:w="1328" w:type="dxa"/>
            <w:tcBorders>
              <w:top w:val="nil"/>
              <w:left w:val="nil"/>
              <w:bottom w:val="single" w:color="auto" w:sz="4" w:space="0"/>
              <w:right w:val="single" w:color="auto" w:sz="4" w:space="0"/>
            </w:tcBorders>
            <w:vAlign w:val="center"/>
          </w:tcPr>
          <w:p>
            <w:pPr>
              <w:widowControl/>
              <w:jc w:val="center"/>
              <w:rPr>
                <w:rFonts w:ascii="宋体" w:cs="Times New Roman"/>
                <w:kern w:val="0"/>
                <w:sz w:val="18"/>
                <w:szCs w:val="18"/>
              </w:rPr>
            </w:pPr>
            <w:r>
              <w:rPr>
                <w:rFonts w:hint="eastAsia" w:ascii="宋体" w:hAnsi="宋体" w:cs="宋体"/>
                <w:kern w:val="0"/>
                <w:sz w:val="18"/>
                <w:szCs w:val="18"/>
              </w:rPr>
              <w:t>稀贵金属</w:t>
            </w:r>
          </w:p>
        </w:tc>
        <w:tc>
          <w:tcPr>
            <w:tcW w:w="1672" w:type="dxa"/>
            <w:tcBorders>
              <w:top w:val="nil"/>
              <w:left w:val="nil"/>
              <w:bottom w:val="single" w:color="auto" w:sz="4" w:space="0"/>
              <w:right w:val="single" w:color="auto" w:sz="4" w:space="0"/>
            </w:tcBorders>
            <w:vAlign w:val="center"/>
          </w:tcPr>
          <w:p>
            <w:pPr>
              <w:jc w:val="center"/>
              <w:rPr>
                <w:rFonts w:cs="Times New Roman"/>
              </w:rPr>
            </w:pPr>
            <w:r>
              <w:rPr>
                <w:rFonts w:hint="eastAsia" w:ascii="宋体" w:hAnsi="宋体" w:cs="宋体"/>
                <w:kern w:val="0"/>
                <w:sz w:val="18"/>
                <w:szCs w:val="18"/>
              </w:rPr>
              <w:t>上杭县工业园</w:t>
            </w:r>
          </w:p>
        </w:tc>
      </w:tr>
      <w:tr>
        <w:trPr>
          <w:trHeight w:val="480" w:hRule="atLeast"/>
        </w:trPr>
        <w:tc>
          <w:tcPr>
            <w:tcW w:w="490" w:type="dxa"/>
            <w:tcBorders>
              <w:top w:val="nil"/>
              <w:left w:val="single" w:color="auto" w:sz="4" w:space="0"/>
              <w:bottom w:val="single" w:color="auto" w:sz="4" w:space="0"/>
              <w:right w:val="single" w:color="auto" w:sz="4" w:space="0"/>
            </w:tcBorders>
            <w:shd w:val="clear" w:color="auto" w:fill="D9D9D9"/>
            <w:vAlign w:val="center"/>
          </w:tcPr>
          <w:p>
            <w:pPr>
              <w:jc w:val="center"/>
              <w:rPr>
                <w:b/>
                <w:bCs/>
                <w:sz w:val="18"/>
                <w:szCs w:val="18"/>
              </w:rPr>
            </w:pPr>
            <w:r>
              <w:rPr>
                <w:b/>
                <w:bCs/>
                <w:sz w:val="18"/>
                <w:szCs w:val="18"/>
              </w:rPr>
              <w:t>127</w:t>
            </w:r>
          </w:p>
        </w:tc>
        <w:tc>
          <w:tcPr>
            <w:tcW w:w="2515" w:type="dxa"/>
            <w:tcBorders>
              <w:top w:val="nil"/>
              <w:left w:val="nil"/>
              <w:bottom w:val="single" w:color="auto" w:sz="4" w:space="0"/>
              <w:right w:val="single" w:color="auto" w:sz="4" w:space="0"/>
            </w:tcBorders>
            <w:vAlign w:val="center"/>
          </w:tcPr>
          <w:p>
            <w:pPr>
              <w:widowControl/>
              <w:jc w:val="left"/>
              <w:rPr>
                <w:rFonts w:ascii="宋体" w:cs="Times New Roman"/>
                <w:kern w:val="0"/>
                <w:sz w:val="18"/>
                <w:szCs w:val="18"/>
              </w:rPr>
            </w:pPr>
            <w:r>
              <w:rPr>
                <w:rFonts w:hint="eastAsia" w:ascii="宋体" w:hAnsi="宋体" w:cs="宋体"/>
                <w:kern w:val="0"/>
                <w:sz w:val="18"/>
                <w:szCs w:val="18"/>
              </w:rPr>
              <w:t>铂首饰及投资产品</w:t>
            </w:r>
          </w:p>
        </w:tc>
        <w:tc>
          <w:tcPr>
            <w:tcW w:w="2332" w:type="dxa"/>
            <w:tcBorders>
              <w:top w:val="nil"/>
              <w:left w:val="nil"/>
              <w:bottom w:val="single" w:color="auto" w:sz="4" w:space="0"/>
              <w:right w:val="single" w:color="auto" w:sz="4" w:space="0"/>
            </w:tcBorders>
            <w:vAlign w:val="center"/>
          </w:tcPr>
          <w:p>
            <w:pPr>
              <w:widowControl/>
              <w:jc w:val="left"/>
              <w:rPr>
                <w:rFonts w:ascii="宋体" w:cs="Times New Roman"/>
                <w:kern w:val="0"/>
                <w:sz w:val="18"/>
                <w:szCs w:val="18"/>
              </w:rPr>
            </w:pPr>
            <w:r>
              <w:rPr>
                <w:rFonts w:hint="eastAsia" w:ascii="宋体" w:hAnsi="宋体" w:cs="宋体"/>
                <w:kern w:val="0"/>
                <w:sz w:val="18"/>
                <w:szCs w:val="18"/>
              </w:rPr>
              <w:t>招商引资</w:t>
            </w:r>
          </w:p>
        </w:tc>
        <w:tc>
          <w:tcPr>
            <w:tcW w:w="3476" w:type="dxa"/>
            <w:tcBorders>
              <w:top w:val="nil"/>
              <w:left w:val="nil"/>
              <w:bottom w:val="single" w:color="auto" w:sz="4" w:space="0"/>
              <w:right w:val="single" w:color="auto" w:sz="4" w:space="0"/>
            </w:tcBorders>
            <w:vAlign w:val="center"/>
          </w:tcPr>
          <w:p>
            <w:pPr>
              <w:widowControl/>
              <w:jc w:val="left"/>
              <w:rPr>
                <w:rFonts w:ascii="宋体" w:cs="Times New Roman"/>
                <w:kern w:val="0"/>
                <w:sz w:val="18"/>
                <w:szCs w:val="18"/>
              </w:rPr>
            </w:pPr>
            <w:r>
              <w:rPr>
                <w:rFonts w:hint="eastAsia" w:ascii="宋体" w:hAnsi="宋体" w:cs="宋体"/>
                <w:kern w:val="0"/>
                <w:sz w:val="18"/>
                <w:szCs w:val="18"/>
              </w:rPr>
              <w:t>建设年产</w:t>
            </w:r>
            <w:r>
              <w:rPr>
                <w:rFonts w:ascii="宋体" w:hAnsi="宋体" w:cs="宋体"/>
                <w:kern w:val="0"/>
                <w:sz w:val="18"/>
                <w:szCs w:val="18"/>
              </w:rPr>
              <w:t>3</w:t>
            </w:r>
            <w:r>
              <w:rPr>
                <w:rFonts w:hint="eastAsia" w:ascii="宋体" w:hAnsi="宋体" w:cs="宋体"/>
                <w:kern w:val="0"/>
                <w:sz w:val="18"/>
                <w:szCs w:val="18"/>
              </w:rPr>
              <w:t>吨铂首饰及投资产品的生产项目</w:t>
            </w:r>
          </w:p>
        </w:tc>
        <w:tc>
          <w:tcPr>
            <w:tcW w:w="1149" w:type="dxa"/>
            <w:tcBorders>
              <w:top w:val="nil"/>
              <w:left w:val="nil"/>
              <w:bottom w:val="single" w:color="auto" w:sz="4" w:space="0"/>
              <w:right w:val="single" w:color="auto" w:sz="4" w:space="0"/>
            </w:tcBorders>
            <w:vAlign w:val="center"/>
          </w:tcPr>
          <w:p>
            <w:pPr>
              <w:widowControl/>
              <w:jc w:val="center"/>
              <w:rPr>
                <w:rFonts w:ascii="宋体" w:cs="Times New Roman"/>
                <w:kern w:val="0"/>
                <w:sz w:val="18"/>
                <w:szCs w:val="18"/>
              </w:rPr>
            </w:pPr>
            <w:r>
              <w:rPr>
                <w:rFonts w:ascii="宋体" w:hAnsi="宋体" w:cs="宋体"/>
                <w:kern w:val="0"/>
                <w:sz w:val="18"/>
                <w:szCs w:val="18"/>
              </w:rPr>
              <w:t>50,000</w:t>
            </w:r>
          </w:p>
        </w:tc>
        <w:tc>
          <w:tcPr>
            <w:tcW w:w="1059" w:type="dxa"/>
            <w:tcBorders>
              <w:top w:val="nil"/>
              <w:left w:val="nil"/>
              <w:bottom w:val="single" w:color="auto" w:sz="4" w:space="0"/>
              <w:right w:val="single" w:color="auto" w:sz="4" w:space="0"/>
            </w:tcBorders>
            <w:vAlign w:val="center"/>
          </w:tcPr>
          <w:p>
            <w:pPr>
              <w:widowControl/>
              <w:jc w:val="center"/>
              <w:rPr>
                <w:rFonts w:ascii="宋体" w:cs="Times New Roman"/>
                <w:kern w:val="0"/>
                <w:sz w:val="18"/>
                <w:szCs w:val="18"/>
              </w:rPr>
            </w:pPr>
            <w:r>
              <w:rPr>
                <w:rFonts w:ascii="宋体" w:hAnsi="宋体" w:cs="宋体"/>
                <w:kern w:val="0"/>
                <w:sz w:val="18"/>
                <w:szCs w:val="18"/>
              </w:rPr>
              <w:t>200,000</w:t>
            </w:r>
          </w:p>
        </w:tc>
        <w:tc>
          <w:tcPr>
            <w:tcW w:w="1328" w:type="dxa"/>
            <w:tcBorders>
              <w:top w:val="nil"/>
              <w:left w:val="nil"/>
              <w:bottom w:val="single" w:color="auto" w:sz="4" w:space="0"/>
              <w:right w:val="single" w:color="auto" w:sz="4" w:space="0"/>
            </w:tcBorders>
            <w:vAlign w:val="center"/>
          </w:tcPr>
          <w:p>
            <w:pPr>
              <w:widowControl/>
              <w:jc w:val="center"/>
              <w:rPr>
                <w:rFonts w:ascii="宋体" w:cs="Times New Roman"/>
                <w:kern w:val="0"/>
                <w:sz w:val="18"/>
                <w:szCs w:val="18"/>
              </w:rPr>
            </w:pPr>
            <w:r>
              <w:rPr>
                <w:rFonts w:hint="eastAsia" w:ascii="宋体" w:hAnsi="宋体" w:cs="宋体"/>
                <w:kern w:val="0"/>
                <w:sz w:val="18"/>
                <w:szCs w:val="18"/>
              </w:rPr>
              <w:t>稀贵金属</w:t>
            </w:r>
            <w:r>
              <w:rPr>
                <w:rFonts w:ascii="宋体" w:hAnsi="宋体" w:cs="宋体"/>
                <w:kern w:val="0"/>
                <w:sz w:val="18"/>
                <w:szCs w:val="18"/>
              </w:rPr>
              <w:t>/</w:t>
            </w:r>
            <w:r>
              <w:rPr>
                <w:rFonts w:hint="eastAsia" w:ascii="宋体" w:hAnsi="宋体" w:cs="宋体"/>
                <w:kern w:val="0"/>
                <w:sz w:val="18"/>
                <w:szCs w:val="18"/>
              </w:rPr>
              <w:t>首饰加工</w:t>
            </w:r>
          </w:p>
        </w:tc>
        <w:tc>
          <w:tcPr>
            <w:tcW w:w="1672" w:type="dxa"/>
            <w:tcBorders>
              <w:top w:val="nil"/>
              <w:left w:val="nil"/>
              <w:bottom w:val="single" w:color="auto" w:sz="4" w:space="0"/>
              <w:right w:val="single" w:color="auto" w:sz="4" w:space="0"/>
            </w:tcBorders>
            <w:vAlign w:val="center"/>
          </w:tcPr>
          <w:p>
            <w:pPr>
              <w:jc w:val="center"/>
              <w:rPr>
                <w:rFonts w:cs="Times New Roman"/>
              </w:rPr>
            </w:pPr>
            <w:r>
              <w:rPr>
                <w:rFonts w:hint="eastAsia" w:ascii="宋体" w:hAnsi="宋体" w:cs="宋体"/>
                <w:kern w:val="0"/>
                <w:sz w:val="18"/>
                <w:szCs w:val="18"/>
              </w:rPr>
              <w:t>上杭县工业园</w:t>
            </w:r>
          </w:p>
        </w:tc>
      </w:tr>
      <w:tr>
        <w:trPr>
          <w:trHeight w:val="315" w:hRule="atLeast"/>
        </w:trPr>
        <w:tc>
          <w:tcPr>
            <w:tcW w:w="490" w:type="dxa"/>
            <w:tcBorders>
              <w:top w:val="nil"/>
              <w:left w:val="single" w:color="auto" w:sz="4" w:space="0"/>
              <w:bottom w:val="single" w:color="auto" w:sz="4" w:space="0"/>
              <w:right w:val="single" w:color="auto" w:sz="4" w:space="0"/>
            </w:tcBorders>
            <w:shd w:val="clear" w:color="auto" w:fill="D9D9D9"/>
            <w:vAlign w:val="center"/>
          </w:tcPr>
          <w:p>
            <w:pPr>
              <w:jc w:val="center"/>
              <w:rPr>
                <w:b/>
                <w:bCs/>
                <w:sz w:val="18"/>
                <w:szCs w:val="18"/>
              </w:rPr>
            </w:pPr>
            <w:r>
              <w:rPr>
                <w:b/>
                <w:bCs/>
                <w:sz w:val="18"/>
                <w:szCs w:val="18"/>
              </w:rPr>
              <w:t>128</w:t>
            </w:r>
          </w:p>
        </w:tc>
        <w:tc>
          <w:tcPr>
            <w:tcW w:w="2515" w:type="dxa"/>
            <w:tcBorders>
              <w:top w:val="nil"/>
              <w:left w:val="nil"/>
              <w:bottom w:val="single" w:color="auto" w:sz="4" w:space="0"/>
              <w:right w:val="single" w:color="auto" w:sz="4" w:space="0"/>
            </w:tcBorders>
            <w:vAlign w:val="center"/>
          </w:tcPr>
          <w:p>
            <w:pPr>
              <w:widowControl/>
              <w:jc w:val="left"/>
              <w:rPr>
                <w:rFonts w:ascii="宋体" w:cs="Times New Roman"/>
                <w:kern w:val="0"/>
                <w:sz w:val="18"/>
                <w:szCs w:val="18"/>
              </w:rPr>
            </w:pPr>
            <w:r>
              <w:rPr>
                <w:rFonts w:hint="eastAsia" w:ascii="宋体" w:hAnsi="宋体" w:cs="宋体"/>
                <w:kern w:val="0"/>
                <w:sz w:val="18"/>
                <w:szCs w:val="18"/>
              </w:rPr>
              <w:t>汽车催化剂（含铂钯铑）</w:t>
            </w:r>
          </w:p>
        </w:tc>
        <w:tc>
          <w:tcPr>
            <w:tcW w:w="2332" w:type="dxa"/>
            <w:tcBorders>
              <w:top w:val="nil"/>
              <w:left w:val="nil"/>
              <w:bottom w:val="single" w:color="auto" w:sz="4" w:space="0"/>
              <w:right w:val="single" w:color="auto" w:sz="4" w:space="0"/>
            </w:tcBorders>
            <w:vAlign w:val="center"/>
          </w:tcPr>
          <w:p>
            <w:pPr>
              <w:widowControl/>
              <w:jc w:val="left"/>
              <w:rPr>
                <w:rFonts w:ascii="宋体" w:cs="Times New Roman"/>
                <w:kern w:val="0"/>
                <w:sz w:val="18"/>
                <w:szCs w:val="18"/>
              </w:rPr>
            </w:pPr>
            <w:r>
              <w:rPr>
                <w:rFonts w:hint="eastAsia" w:ascii="宋体" w:hAnsi="宋体" w:cs="宋体"/>
                <w:kern w:val="0"/>
                <w:sz w:val="18"/>
                <w:szCs w:val="18"/>
              </w:rPr>
              <w:t>招商引资</w:t>
            </w:r>
          </w:p>
        </w:tc>
        <w:tc>
          <w:tcPr>
            <w:tcW w:w="3476" w:type="dxa"/>
            <w:tcBorders>
              <w:top w:val="nil"/>
              <w:left w:val="nil"/>
              <w:bottom w:val="single" w:color="auto" w:sz="4" w:space="0"/>
              <w:right w:val="single" w:color="auto" w:sz="4" w:space="0"/>
            </w:tcBorders>
            <w:vAlign w:val="center"/>
          </w:tcPr>
          <w:p>
            <w:pPr>
              <w:widowControl/>
              <w:jc w:val="left"/>
              <w:rPr>
                <w:rFonts w:ascii="宋体" w:cs="Times New Roman"/>
                <w:kern w:val="0"/>
                <w:sz w:val="18"/>
                <w:szCs w:val="18"/>
              </w:rPr>
            </w:pPr>
            <w:r>
              <w:rPr>
                <w:rFonts w:hint="eastAsia" w:ascii="宋体" w:hAnsi="宋体" w:cs="宋体"/>
                <w:kern w:val="0"/>
                <w:sz w:val="18"/>
                <w:szCs w:val="18"/>
              </w:rPr>
              <w:t>年产</w:t>
            </w:r>
            <w:r>
              <w:rPr>
                <w:rFonts w:ascii="宋体" w:hAnsi="宋体" w:cs="宋体"/>
                <w:kern w:val="0"/>
                <w:sz w:val="18"/>
                <w:szCs w:val="18"/>
              </w:rPr>
              <w:t>100</w:t>
            </w:r>
            <w:r>
              <w:rPr>
                <w:rFonts w:hint="eastAsia" w:ascii="宋体" w:hAnsi="宋体" w:cs="宋体"/>
                <w:kern w:val="0"/>
                <w:sz w:val="18"/>
                <w:szCs w:val="18"/>
              </w:rPr>
              <w:t>万升汽车催化剂项目</w:t>
            </w:r>
          </w:p>
        </w:tc>
        <w:tc>
          <w:tcPr>
            <w:tcW w:w="1149" w:type="dxa"/>
            <w:tcBorders>
              <w:top w:val="nil"/>
              <w:left w:val="nil"/>
              <w:bottom w:val="single" w:color="auto" w:sz="4" w:space="0"/>
              <w:right w:val="single" w:color="auto" w:sz="4" w:space="0"/>
            </w:tcBorders>
            <w:vAlign w:val="center"/>
          </w:tcPr>
          <w:p>
            <w:pPr>
              <w:widowControl/>
              <w:jc w:val="center"/>
              <w:rPr>
                <w:rFonts w:ascii="宋体" w:cs="Times New Roman"/>
                <w:kern w:val="0"/>
                <w:sz w:val="18"/>
                <w:szCs w:val="18"/>
              </w:rPr>
            </w:pPr>
            <w:r>
              <w:rPr>
                <w:rFonts w:ascii="宋体" w:hAnsi="宋体" w:cs="宋体"/>
                <w:kern w:val="0"/>
                <w:sz w:val="18"/>
                <w:szCs w:val="18"/>
              </w:rPr>
              <w:t>80,000</w:t>
            </w:r>
          </w:p>
        </w:tc>
        <w:tc>
          <w:tcPr>
            <w:tcW w:w="1059" w:type="dxa"/>
            <w:tcBorders>
              <w:top w:val="nil"/>
              <w:left w:val="nil"/>
              <w:bottom w:val="single" w:color="auto" w:sz="4" w:space="0"/>
              <w:right w:val="single" w:color="auto" w:sz="4" w:space="0"/>
            </w:tcBorders>
            <w:vAlign w:val="center"/>
          </w:tcPr>
          <w:p>
            <w:pPr>
              <w:widowControl/>
              <w:jc w:val="center"/>
              <w:rPr>
                <w:rFonts w:ascii="宋体" w:cs="Times New Roman"/>
                <w:kern w:val="0"/>
                <w:sz w:val="18"/>
                <w:szCs w:val="18"/>
              </w:rPr>
            </w:pPr>
            <w:r>
              <w:rPr>
                <w:rFonts w:ascii="宋体" w:hAnsi="宋体" w:cs="宋体"/>
                <w:kern w:val="0"/>
                <w:sz w:val="18"/>
                <w:szCs w:val="18"/>
              </w:rPr>
              <w:t>250,000</w:t>
            </w:r>
          </w:p>
        </w:tc>
        <w:tc>
          <w:tcPr>
            <w:tcW w:w="1328" w:type="dxa"/>
            <w:tcBorders>
              <w:top w:val="nil"/>
              <w:left w:val="nil"/>
              <w:bottom w:val="single" w:color="auto" w:sz="4" w:space="0"/>
              <w:right w:val="single" w:color="auto" w:sz="4" w:space="0"/>
            </w:tcBorders>
            <w:vAlign w:val="center"/>
          </w:tcPr>
          <w:p>
            <w:pPr>
              <w:widowControl/>
              <w:jc w:val="center"/>
              <w:rPr>
                <w:rFonts w:ascii="宋体" w:cs="Times New Roman"/>
                <w:kern w:val="0"/>
                <w:sz w:val="18"/>
                <w:szCs w:val="18"/>
              </w:rPr>
            </w:pPr>
            <w:r>
              <w:rPr>
                <w:rFonts w:hint="eastAsia" w:ascii="宋体" w:hAnsi="宋体" w:cs="宋体"/>
                <w:kern w:val="0"/>
                <w:sz w:val="18"/>
                <w:szCs w:val="18"/>
              </w:rPr>
              <w:t>稀贵金属</w:t>
            </w:r>
          </w:p>
        </w:tc>
        <w:tc>
          <w:tcPr>
            <w:tcW w:w="1672" w:type="dxa"/>
            <w:tcBorders>
              <w:top w:val="nil"/>
              <w:left w:val="nil"/>
              <w:bottom w:val="single" w:color="auto" w:sz="4" w:space="0"/>
              <w:right w:val="single" w:color="auto" w:sz="4" w:space="0"/>
            </w:tcBorders>
            <w:vAlign w:val="center"/>
          </w:tcPr>
          <w:p>
            <w:pPr>
              <w:widowControl/>
              <w:jc w:val="center"/>
              <w:rPr>
                <w:rFonts w:ascii="宋体" w:cs="Times New Roman"/>
                <w:kern w:val="0"/>
                <w:sz w:val="18"/>
                <w:szCs w:val="18"/>
              </w:rPr>
            </w:pPr>
            <w:r>
              <w:rPr>
                <w:rFonts w:hint="eastAsia" w:ascii="宋体" w:hAnsi="宋体" w:cs="宋体"/>
                <w:kern w:val="0"/>
                <w:sz w:val="18"/>
                <w:szCs w:val="18"/>
              </w:rPr>
              <w:t>上杭县蛟洋工业园</w:t>
            </w:r>
          </w:p>
        </w:tc>
      </w:tr>
      <w:tr>
        <w:trPr>
          <w:trHeight w:val="480" w:hRule="atLeast"/>
        </w:trPr>
        <w:tc>
          <w:tcPr>
            <w:tcW w:w="490" w:type="dxa"/>
            <w:tcBorders>
              <w:top w:val="nil"/>
              <w:left w:val="single" w:color="auto" w:sz="4" w:space="0"/>
              <w:bottom w:val="single" w:color="auto" w:sz="4" w:space="0"/>
              <w:right w:val="single" w:color="auto" w:sz="4" w:space="0"/>
            </w:tcBorders>
            <w:shd w:val="clear" w:color="auto" w:fill="D9D9D9"/>
            <w:vAlign w:val="center"/>
          </w:tcPr>
          <w:p>
            <w:pPr>
              <w:jc w:val="center"/>
              <w:rPr>
                <w:b/>
                <w:bCs/>
                <w:sz w:val="18"/>
                <w:szCs w:val="18"/>
              </w:rPr>
            </w:pPr>
            <w:r>
              <w:rPr>
                <w:b/>
                <w:bCs/>
                <w:sz w:val="18"/>
                <w:szCs w:val="18"/>
              </w:rPr>
              <w:t>129</w:t>
            </w:r>
          </w:p>
        </w:tc>
        <w:tc>
          <w:tcPr>
            <w:tcW w:w="2515" w:type="dxa"/>
            <w:tcBorders>
              <w:top w:val="nil"/>
              <w:left w:val="nil"/>
              <w:bottom w:val="single" w:color="auto" w:sz="4" w:space="0"/>
              <w:right w:val="single" w:color="auto" w:sz="4" w:space="0"/>
            </w:tcBorders>
            <w:vAlign w:val="center"/>
          </w:tcPr>
          <w:p>
            <w:pPr>
              <w:widowControl/>
              <w:jc w:val="left"/>
              <w:rPr>
                <w:rFonts w:ascii="宋体" w:cs="Times New Roman"/>
                <w:kern w:val="0"/>
                <w:sz w:val="18"/>
                <w:szCs w:val="18"/>
              </w:rPr>
            </w:pPr>
            <w:r>
              <w:rPr>
                <w:rFonts w:hint="eastAsia" w:ascii="宋体" w:hAnsi="宋体" w:cs="宋体"/>
                <w:kern w:val="0"/>
                <w:sz w:val="18"/>
                <w:szCs w:val="18"/>
              </w:rPr>
              <w:t>钯催化剂、铂催化剂、铑催化剂</w:t>
            </w:r>
          </w:p>
        </w:tc>
        <w:tc>
          <w:tcPr>
            <w:tcW w:w="2332" w:type="dxa"/>
            <w:tcBorders>
              <w:top w:val="nil"/>
              <w:left w:val="nil"/>
              <w:bottom w:val="single" w:color="auto" w:sz="4" w:space="0"/>
              <w:right w:val="single" w:color="auto" w:sz="4" w:space="0"/>
            </w:tcBorders>
            <w:vAlign w:val="center"/>
          </w:tcPr>
          <w:p>
            <w:pPr>
              <w:widowControl/>
              <w:jc w:val="left"/>
              <w:rPr>
                <w:rFonts w:ascii="宋体" w:cs="Times New Roman"/>
                <w:kern w:val="0"/>
                <w:sz w:val="18"/>
                <w:szCs w:val="18"/>
              </w:rPr>
            </w:pPr>
            <w:r>
              <w:rPr>
                <w:rFonts w:hint="eastAsia" w:ascii="宋体" w:hAnsi="宋体" w:cs="宋体"/>
                <w:kern w:val="0"/>
                <w:sz w:val="18"/>
                <w:szCs w:val="18"/>
              </w:rPr>
              <w:t>招商引资</w:t>
            </w:r>
          </w:p>
        </w:tc>
        <w:tc>
          <w:tcPr>
            <w:tcW w:w="3476" w:type="dxa"/>
            <w:tcBorders>
              <w:top w:val="nil"/>
              <w:left w:val="nil"/>
              <w:bottom w:val="single" w:color="auto" w:sz="4" w:space="0"/>
              <w:right w:val="single" w:color="auto" w:sz="4" w:space="0"/>
            </w:tcBorders>
            <w:vAlign w:val="center"/>
          </w:tcPr>
          <w:p>
            <w:pPr>
              <w:widowControl/>
              <w:jc w:val="left"/>
              <w:rPr>
                <w:rFonts w:ascii="宋体" w:cs="Times New Roman"/>
                <w:kern w:val="0"/>
                <w:sz w:val="18"/>
                <w:szCs w:val="18"/>
              </w:rPr>
            </w:pPr>
            <w:r>
              <w:rPr>
                <w:rFonts w:hint="eastAsia" w:ascii="宋体" w:hAnsi="宋体" w:cs="宋体"/>
                <w:kern w:val="0"/>
                <w:sz w:val="18"/>
                <w:szCs w:val="18"/>
              </w:rPr>
              <w:t>用于化工行业的铂钯铑催化剂</w:t>
            </w:r>
          </w:p>
        </w:tc>
        <w:tc>
          <w:tcPr>
            <w:tcW w:w="1149" w:type="dxa"/>
            <w:tcBorders>
              <w:top w:val="nil"/>
              <w:left w:val="nil"/>
              <w:bottom w:val="single" w:color="auto" w:sz="4" w:space="0"/>
              <w:right w:val="single" w:color="auto" w:sz="4" w:space="0"/>
            </w:tcBorders>
            <w:vAlign w:val="center"/>
          </w:tcPr>
          <w:p>
            <w:pPr>
              <w:widowControl/>
              <w:jc w:val="center"/>
              <w:rPr>
                <w:rFonts w:ascii="宋体" w:cs="Times New Roman"/>
                <w:kern w:val="0"/>
                <w:sz w:val="18"/>
                <w:szCs w:val="18"/>
              </w:rPr>
            </w:pPr>
            <w:r>
              <w:rPr>
                <w:rFonts w:ascii="宋体" w:hAnsi="宋体" w:cs="宋体"/>
                <w:kern w:val="0"/>
                <w:sz w:val="18"/>
                <w:szCs w:val="18"/>
              </w:rPr>
              <w:t>20,000</w:t>
            </w:r>
          </w:p>
        </w:tc>
        <w:tc>
          <w:tcPr>
            <w:tcW w:w="1059" w:type="dxa"/>
            <w:tcBorders>
              <w:top w:val="nil"/>
              <w:left w:val="nil"/>
              <w:bottom w:val="single" w:color="auto" w:sz="4" w:space="0"/>
              <w:right w:val="single" w:color="auto" w:sz="4" w:space="0"/>
            </w:tcBorders>
            <w:vAlign w:val="center"/>
          </w:tcPr>
          <w:p>
            <w:pPr>
              <w:widowControl/>
              <w:jc w:val="center"/>
              <w:rPr>
                <w:rFonts w:ascii="宋体" w:cs="Times New Roman"/>
                <w:kern w:val="0"/>
                <w:sz w:val="18"/>
                <w:szCs w:val="18"/>
              </w:rPr>
            </w:pPr>
            <w:r>
              <w:rPr>
                <w:rFonts w:ascii="宋体" w:hAnsi="宋体" w:cs="宋体"/>
                <w:kern w:val="0"/>
                <w:sz w:val="18"/>
                <w:szCs w:val="18"/>
              </w:rPr>
              <w:t>100,000</w:t>
            </w:r>
          </w:p>
        </w:tc>
        <w:tc>
          <w:tcPr>
            <w:tcW w:w="1328" w:type="dxa"/>
            <w:tcBorders>
              <w:top w:val="nil"/>
              <w:left w:val="nil"/>
              <w:bottom w:val="single" w:color="auto" w:sz="4" w:space="0"/>
              <w:right w:val="single" w:color="auto" w:sz="4" w:space="0"/>
            </w:tcBorders>
            <w:vAlign w:val="center"/>
          </w:tcPr>
          <w:p>
            <w:pPr>
              <w:widowControl/>
              <w:jc w:val="center"/>
              <w:rPr>
                <w:rFonts w:ascii="宋体" w:cs="Times New Roman"/>
                <w:kern w:val="0"/>
                <w:sz w:val="18"/>
                <w:szCs w:val="18"/>
              </w:rPr>
            </w:pPr>
            <w:r>
              <w:rPr>
                <w:rFonts w:hint="eastAsia" w:ascii="宋体" w:hAnsi="宋体" w:cs="宋体"/>
                <w:kern w:val="0"/>
                <w:sz w:val="18"/>
                <w:szCs w:val="18"/>
              </w:rPr>
              <w:t>稀贵金属</w:t>
            </w:r>
          </w:p>
        </w:tc>
        <w:tc>
          <w:tcPr>
            <w:tcW w:w="1672" w:type="dxa"/>
            <w:tcBorders>
              <w:top w:val="nil"/>
              <w:left w:val="nil"/>
              <w:bottom w:val="single" w:color="auto" w:sz="4" w:space="0"/>
              <w:right w:val="single" w:color="auto" w:sz="4" w:space="0"/>
            </w:tcBorders>
            <w:vAlign w:val="center"/>
          </w:tcPr>
          <w:p>
            <w:pPr>
              <w:widowControl/>
              <w:jc w:val="center"/>
              <w:rPr>
                <w:rFonts w:ascii="宋体" w:cs="Times New Roman"/>
                <w:kern w:val="0"/>
                <w:sz w:val="18"/>
                <w:szCs w:val="18"/>
              </w:rPr>
            </w:pPr>
            <w:r>
              <w:rPr>
                <w:rFonts w:hint="eastAsia" w:ascii="宋体" w:hAnsi="宋体" w:cs="宋体"/>
                <w:kern w:val="0"/>
                <w:sz w:val="18"/>
                <w:szCs w:val="18"/>
              </w:rPr>
              <w:t>上杭县蛟洋工业园</w:t>
            </w:r>
          </w:p>
        </w:tc>
      </w:tr>
      <w:tr>
        <w:trPr>
          <w:trHeight w:val="480" w:hRule="atLeast"/>
        </w:trPr>
        <w:tc>
          <w:tcPr>
            <w:tcW w:w="490" w:type="dxa"/>
            <w:tcBorders>
              <w:top w:val="nil"/>
              <w:left w:val="single" w:color="auto" w:sz="4" w:space="0"/>
              <w:bottom w:val="single" w:color="auto" w:sz="4" w:space="0"/>
              <w:right w:val="single" w:color="auto" w:sz="4" w:space="0"/>
            </w:tcBorders>
            <w:shd w:val="clear" w:color="auto" w:fill="D9D9D9"/>
            <w:vAlign w:val="center"/>
          </w:tcPr>
          <w:p>
            <w:pPr>
              <w:jc w:val="center"/>
              <w:rPr>
                <w:b/>
                <w:bCs/>
                <w:sz w:val="18"/>
                <w:szCs w:val="18"/>
              </w:rPr>
            </w:pPr>
            <w:r>
              <w:rPr>
                <w:b/>
                <w:bCs/>
                <w:sz w:val="18"/>
                <w:szCs w:val="18"/>
              </w:rPr>
              <w:t>130</w:t>
            </w:r>
          </w:p>
        </w:tc>
        <w:tc>
          <w:tcPr>
            <w:tcW w:w="2515" w:type="dxa"/>
            <w:tcBorders>
              <w:top w:val="nil"/>
              <w:left w:val="nil"/>
              <w:bottom w:val="single" w:color="auto" w:sz="4" w:space="0"/>
              <w:right w:val="single" w:color="auto" w:sz="4" w:space="0"/>
            </w:tcBorders>
            <w:vAlign w:val="center"/>
          </w:tcPr>
          <w:p>
            <w:pPr>
              <w:widowControl/>
              <w:jc w:val="left"/>
              <w:rPr>
                <w:rFonts w:ascii="宋体" w:cs="Times New Roman"/>
                <w:kern w:val="0"/>
                <w:sz w:val="18"/>
                <w:szCs w:val="18"/>
              </w:rPr>
            </w:pPr>
            <w:r>
              <w:rPr>
                <w:rFonts w:hint="eastAsia" w:ascii="宋体" w:hAnsi="宋体" w:cs="宋体"/>
                <w:kern w:val="0"/>
                <w:sz w:val="18"/>
                <w:szCs w:val="18"/>
              </w:rPr>
              <w:t>氢燃料电池</w:t>
            </w:r>
          </w:p>
        </w:tc>
        <w:tc>
          <w:tcPr>
            <w:tcW w:w="2332" w:type="dxa"/>
            <w:tcBorders>
              <w:top w:val="nil"/>
              <w:left w:val="nil"/>
              <w:bottom w:val="single" w:color="auto" w:sz="4" w:space="0"/>
              <w:right w:val="single" w:color="auto" w:sz="4" w:space="0"/>
            </w:tcBorders>
            <w:vAlign w:val="center"/>
          </w:tcPr>
          <w:p>
            <w:pPr>
              <w:widowControl/>
              <w:jc w:val="left"/>
              <w:rPr>
                <w:rFonts w:ascii="宋体" w:cs="Times New Roman"/>
                <w:kern w:val="0"/>
                <w:sz w:val="18"/>
                <w:szCs w:val="18"/>
              </w:rPr>
            </w:pPr>
            <w:r>
              <w:rPr>
                <w:rFonts w:hint="eastAsia" w:ascii="宋体" w:hAnsi="宋体" w:cs="宋体"/>
                <w:kern w:val="0"/>
                <w:sz w:val="18"/>
                <w:szCs w:val="18"/>
              </w:rPr>
              <w:t>招商引资</w:t>
            </w:r>
          </w:p>
        </w:tc>
        <w:tc>
          <w:tcPr>
            <w:tcW w:w="3476" w:type="dxa"/>
            <w:tcBorders>
              <w:top w:val="nil"/>
              <w:left w:val="nil"/>
              <w:bottom w:val="single" w:color="auto" w:sz="4" w:space="0"/>
              <w:right w:val="single" w:color="auto" w:sz="4" w:space="0"/>
            </w:tcBorders>
            <w:vAlign w:val="center"/>
          </w:tcPr>
          <w:p>
            <w:pPr>
              <w:widowControl/>
              <w:jc w:val="left"/>
              <w:rPr>
                <w:rFonts w:ascii="宋体" w:cs="Times New Roman"/>
                <w:kern w:val="0"/>
                <w:sz w:val="18"/>
                <w:szCs w:val="18"/>
              </w:rPr>
            </w:pPr>
            <w:r>
              <w:rPr>
                <w:rFonts w:hint="eastAsia" w:ascii="宋体" w:hAnsi="宋体" w:cs="宋体"/>
                <w:kern w:val="0"/>
                <w:sz w:val="18"/>
                <w:szCs w:val="18"/>
              </w:rPr>
              <w:t>燃料电池催化剂等配套设施</w:t>
            </w:r>
          </w:p>
        </w:tc>
        <w:tc>
          <w:tcPr>
            <w:tcW w:w="1149" w:type="dxa"/>
            <w:tcBorders>
              <w:top w:val="nil"/>
              <w:left w:val="nil"/>
              <w:bottom w:val="single" w:color="auto" w:sz="4" w:space="0"/>
              <w:right w:val="single" w:color="auto" w:sz="4" w:space="0"/>
            </w:tcBorders>
            <w:vAlign w:val="center"/>
          </w:tcPr>
          <w:p>
            <w:pPr>
              <w:widowControl/>
              <w:jc w:val="center"/>
              <w:rPr>
                <w:rFonts w:ascii="宋体" w:cs="Times New Roman"/>
                <w:kern w:val="0"/>
                <w:sz w:val="18"/>
                <w:szCs w:val="18"/>
              </w:rPr>
            </w:pPr>
            <w:r>
              <w:rPr>
                <w:rFonts w:ascii="宋体" w:hAnsi="宋体" w:cs="宋体"/>
                <w:kern w:val="0"/>
                <w:sz w:val="18"/>
                <w:szCs w:val="18"/>
              </w:rPr>
              <w:t>200,000</w:t>
            </w:r>
          </w:p>
        </w:tc>
        <w:tc>
          <w:tcPr>
            <w:tcW w:w="1059" w:type="dxa"/>
            <w:tcBorders>
              <w:top w:val="nil"/>
              <w:left w:val="nil"/>
              <w:bottom w:val="single" w:color="auto" w:sz="4" w:space="0"/>
              <w:right w:val="single" w:color="auto" w:sz="4" w:space="0"/>
            </w:tcBorders>
            <w:vAlign w:val="center"/>
          </w:tcPr>
          <w:p>
            <w:pPr>
              <w:widowControl/>
              <w:jc w:val="center"/>
              <w:rPr>
                <w:rFonts w:ascii="宋体" w:cs="Times New Roman"/>
                <w:kern w:val="0"/>
                <w:sz w:val="18"/>
                <w:szCs w:val="18"/>
              </w:rPr>
            </w:pPr>
            <w:r>
              <w:rPr>
                <w:rFonts w:ascii="宋体" w:hAnsi="宋体" w:cs="宋体"/>
                <w:kern w:val="0"/>
                <w:sz w:val="18"/>
                <w:szCs w:val="18"/>
              </w:rPr>
              <w:t>400,000</w:t>
            </w:r>
          </w:p>
        </w:tc>
        <w:tc>
          <w:tcPr>
            <w:tcW w:w="1328" w:type="dxa"/>
            <w:tcBorders>
              <w:top w:val="nil"/>
              <w:left w:val="nil"/>
              <w:bottom w:val="single" w:color="auto" w:sz="4" w:space="0"/>
              <w:right w:val="single" w:color="auto" w:sz="4" w:space="0"/>
            </w:tcBorders>
            <w:vAlign w:val="center"/>
          </w:tcPr>
          <w:p>
            <w:pPr>
              <w:widowControl/>
              <w:jc w:val="center"/>
              <w:rPr>
                <w:rFonts w:ascii="宋体" w:cs="Times New Roman"/>
                <w:kern w:val="0"/>
                <w:sz w:val="18"/>
                <w:szCs w:val="18"/>
              </w:rPr>
            </w:pPr>
            <w:r>
              <w:rPr>
                <w:rFonts w:hint="eastAsia" w:ascii="宋体" w:hAnsi="宋体" w:cs="宋体"/>
                <w:kern w:val="0"/>
                <w:sz w:val="18"/>
                <w:szCs w:val="18"/>
              </w:rPr>
              <w:t>新能源</w:t>
            </w:r>
          </w:p>
        </w:tc>
        <w:tc>
          <w:tcPr>
            <w:tcW w:w="1672" w:type="dxa"/>
            <w:tcBorders>
              <w:top w:val="nil"/>
              <w:left w:val="nil"/>
              <w:bottom w:val="single" w:color="auto" w:sz="4" w:space="0"/>
              <w:right w:val="single" w:color="auto" w:sz="4" w:space="0"/>
            </w:tcBorders>
            <w:vAlign w:val="center"/>
          </w:tcPr>
          <w:p>
            <w:pPr>
              <w:widowControl/>
              <w:jc w:val="center"/>
              <w:rPr>
                <w:rFonts w:ascii="宋体" w:cs="Times New Roman"/>
                <w:kern w:val="0"/>
                <w:sz w:val="18"/>
                <w:szCs w:val="18"/>
              </w:rPr>
            </w:pPr>
            <w:r>
              <w:rPr>
                <w:rFonts w:hint="eastAsia" w:ascii="宋体" w:hAnsi="宋体" w:cs="宋体"/>
                <w:kern w:val="0"/>
                <w:sz w:val="18"/>
                <w:szCs w:val="18"/>
              </w:rPr>
              <w:t>上杭县蛟洋工业园</w:t>
            </w:r>
          </w:p>
        </w:tc>
      </w:tr>
      <w:tr>
        <w:trPr>
          <w:trHeight w:val="480" w:hRule="atLeast"/>
        </w:trPr>
        <w:tc>
          <w:tcPr>
            <w:tcW w:w="490" w:type="dxa"/>
            <w:tcBorders>
              <w:top w:val="nil"/>
              <w:left w:val="single" w:color="auto" w:sz="4" w:space="0"/>
              <w:bottom w:val="single" w:color="auto" w:sz="4" w:space="0"/>
              <w:right w:val="single" w:color="auto" w:sz="4" w:space="0"/>
            </w:tcBorders>
            <w:shd w:val="clear" w:color="auto" w:fill="D9D9D9"/>
            <w:vAlign w:val="center"/>
          </w:tcPr>
          <w:p>
            <w:pPr>
              <w:jc w:val="center"/>
              <w:rPr>
                <w:b/>
                <w:bCs/>
                <w:sz w:val="18"/>
                <w:szCs w:val="18"/>
              </w:rPr>
            </w:pPr>
            <w:r>
              <w:rPr>
                <w:b/>
                <w:bCs/>
                <w:sz w:val="18"/>
                <w:szCs w:val="18"/>
              </w:rPr>
              <w:t>131</w:t>
            </w:r>
          </w:p>
        </w:tc>
        <w:tc>
          <w:tcPr>
            <w:tcW w:w="2515" w:type="dxa"/>
            <w:tcBorders>
              <w:top w:val="nil"/>
              <w:left w:val="nil"/>
              <w:bottom w:val="single" w:color="auto" w:sz="4" w:space="0"/>
              <w:right w:val="single" w:color="auto" w:sz="4" w:space="0"/>
            </w:tcBorders>
            <w:vAlign w:val="center"/>
          </w:tcPr>
          <w:p>
            <w:pPr>
              <w:widowControl/>
              <w:jc w:val="left"/>
              <w:rPr>
                <w:rFonts w:ascii="宋体" w:cs="Times New Roman"/>
                <w:kern w:val="0"/>
                <w:sz w:val="18"/>
                <w:szCs w:val="18"/>
              </w:rPr>
            </w:pPr>
            <w:r>
              <w:rPr>
                <w:rFonts w:hint="eastAsia" w:ascii="宋体" w:hAnsi="宋体" w:cs="宋体"/>
                <w:kern w:val="0"/>
                <w:sz w:val="18"/>
                <w:szCs w:val="18"/>
              </w:rPr>
              <w:t>铂钯高纯材料</w:t>
            </w:r>
          </w:p>
        </w:tc>
        <w:tc>
          <w:tcPr>
            <w:tcW w:w="2332" w:type="dxa"/>
            <w:tcBorders>
              <w:top w:val="nil"/>
              <w:left w:val="nil"/>
              <w:bottom w:val="single" w:color="auto" w:sz="4" w:space="0"/>
              <w:right w:val="single" w:color="auto" w:sz="4" w:space="0"/>
            </w:tcBorders>
            <w:vAlign w:val="center"/>
          </w:tcPr>
          <w:p>
            <w:pPr>
              <w:widowControl/>
              <w:jc w:val="left"/>
              <w:rPr>
                <w:rFonts w:ascii="宋体" w:cs="Times New Roman"/>
                <w:kern w:val="0"/>
                <w:sz w:val="18"/>
                <w:szCs w:val="18"/>
              </w:rPr>
            </w:pPr>
            <w:r>
              <w:rPr>
                <w:rFonts w:hint="eastAsia" w:ascii="宋体" w:hAnsi="宋体" w:cs="宋体"/>
                <w:kern w:val="0"/>
                <w:sz w:val="18"/>
                <w:szCs w:val="18"/>
              </w:rPr>
              <w:t>招商引资</w:t>
            </w:r>
          </w:p>
        </w:tc>
        <w:tc>
          <w:tcPr>
            <w:tcW w:w="3476" w:type="dxa"/>
            <w:tcBorders>
              <w:top w:val="nil"/>
              <w:left w:val="nil"/>
              <w:bottom w:val="single" w:color="auto" w:sz="4" w:space="0"/>
              <w:right w:val="single" w:color="auto" w:sz="4" w:space="0"/>
            </w:tcBorders>
            <w:vAlign w:val="center"/>
          </w:tcPr>
          <w:p>
            <w:pPr>
              <w:widowControl/>
              <w:jc w:val="left"/>
              <w:rPr>
                <w:rFonts w:ascii="宋体" w:cs="Times New Roman"/>
                <w:kern w:val="0"/>
                <w:sz w:val="18"/>
                <w:szCs w:val="18"/>
              </w:rPr>
            </w:pPr>
            <w:r>
              <w:rPr>
                <w:rFonts w:hint="eastAsia" w:ascii="宋体" w:hAnsi="宋体" w:cs="宋体"/>
                <w:kern w:val="0"/>
                <w:sz w:val="18"/>
                <w:szCs w:val="18"/>
              </w:rPr>
              <w:t>铂钯高纯材料</w:t>
            </w:r>
            <w:r>
              <w:rPr>
                <w:rFonts w:ascii="宋体" w:hAnsi="宋体" w:cs="宋体"/>
                <w:kern w:val="0"/>
                <w:sz w:val="18"/>
                <w:szCs w:val="18"/>
              </w:rPr>
              <w:t xml:space="preserve">    </w:t>
            </w:r>
          </w:p>
        </w:tc>
        <w:tc>
          <w:tcPr>
            <w:tcW w:w="1149" w:type="dxa"/>
            <w:tcBorders>
              <w:top w:val="nil"/>
              <w:left w:val="nil"/>
              <w:bottom w:val="single" w:color="auto" w:sz="4" w:space="0"/>
              <w:right w:val="single" w:color="auto" w:sz="4" w:space="0"/>
            </w:tcBorders>
            <w:vAlign w:val="center"/>
          </w:tcPr>
          <w:p>
            <w:pPr>
              <w:widowControl/>
              <w:jc w:val="center"/>
              <w:rPr>
                <w:rFonts w:ascii="宋体" w:cs="Times New Roman"/>
                <w:kern w:val="0"/>
                <w:sz w:val="18"/>
                <w:szCs w:val="18"/>
              </w:rPr>
            </w:pPr>
            <w:r>
              <w:rPr>
                <w:rFonts w:ascii="宋体" w:hAnsi="宋体" w:cs="宋体"/>
                <w:kern w:val="0"/>
                <w:sz w:val="18"/>
                <w:szCs w:val="18"/>
              </w:rPr>
              <w:t>30,000</w:t>
            </w:r>
          </w:p>
        </w:tc>
        <w:tc>
          <w:tcPr>
            <w:tcW w:w="1059" w:type="dxa"/>
            <w:tcBorders>
              <w:top w:val="nil"/>
              <w:left w:val="nil"/>
              <w:bottom w:val="single" w:color="auto" w:sz="4" w:space="0"/>
              <w:right w:val="single" w:color="auto" w:sz="4" w:space="0"/>
            </w:tcBorders>
            <w:vAlign w:val="center"/>
          </w:tcPr>
          <w:p>
            <w:pPr>
              <w:widowControl/>
              <w:jc w:val="center"/>
              <w:rPr>
                <w:rFonts w:ascii="宋体" w:cs="Times New Roman"/>
                <w:kern w:val="0"/>
                <w:sz w:val="18"/>
                <w:szCs w:val="18"/>
              </w:rPr>
            </w:pPr>
            <w:r>
              <w:rPr>
                <w:rFonts w:ascii="宋体" w:hAnsi="宋体" w:cs="宋体"/>
                <w:kern w:val="0"/>
                <w:sz w:val="18"/>
                <w:szCs w:val="18"/>
              </w:rPr>
              <w:t>150,000</w:t>
            </w:r>
          </w:p>
        </w:tc>
        <w:tc>
          <w:tcPr>
            <w:tcW w:w="1328" w:type="dxa"/>
            <w:tcBorders>
              <w:top w:val="nil"/>
              <w:left w:val="nil"/>
              <w:bottom w:val="single" w:color="auto" w:sz="4" w:space="0"/>
              <w:right w:val="single" w:color="auto" w:sz="4" w:space="0"/>
            </w:tcBorders>
            <w:vAlign w:val="center"/>
          </w:tcPr>
          <w:p>
            <w:pPr>
              <w:widowControl/>
              <w:jc w:val="center"/>
              <w:rPr>
                <w:rFonts w:ascii="宋体" w:cs="Times New Roman"/>
                <w:kern w:val="0"/>
                <w:sz w:val="18"/>
                <w:szCs w:val="18"/>
              </w:rPr>
            </w:pPr>
            <w:r>
              <w:rPr>
                <w:rFonts w:hint="eastAsia" w:ascii="宋体" w:hAnsi="宋体" w:cs="宋体"/>
                <w:kern w:val="0"/>
                <w:sz w:val="18"/>
                <w:szCs w:val="18"/>
              </w:rPr>
              <w:t>稀贵金属</w:t>
            </w:r>
            <w:r>
              <w:rPr>
                <w:rFonts w:ascii="宋体" w:hAnsi="宋体" w:cs="宋体"/>
                <w:kern w:val="0"/>
                <w:sz w:val="18"/>
                <w:szCs w:val="18"/>
              </w:rPr>
              <w:t>/</w:t>
            </w:r>
            <w:r>
              <w:rPr>
                <w:rFonts w:hint="eastAsia" w:ascii="宋体" w:hAnsi="宋体" w:cs="宋体"/>
                <w:kern w:val="0"/>
                <w:sz w:val="18"/>
                <w:szCs w:val="18"/>
              </w:rPr>
              <w:t>电子信息</w:t>
            </w:r>
          </w:p>
        </w:tc>
        <w:tc>
          <w:tcPr>
            <w:tcW w:w="1672" w:type="dxa"/>
            <w:tcBorders>
              <w:top w:val="nil"/>
              <w:left w:val="nil"/>
              <w:bottom w:val="single" w:color="auto" w:sz="4" w:space="0"/>
              <w:right w:val="single" w:color="auto" w:sz="4" w:space="0"/>
            </w:tcBorders>
            <w:vAlign w:val="center"/>
          </w:tcPr>
          <w:p>
            <w:pPr>
              <w:widowControl/>
              <w:jc w:val="center"/>
              <w:rPr>
                <w:rFonts w:ascii="宋体" w:cs="Times New Roman"/>
                <w:kern w:val="0"/>
                <w:sz w:val="18"/>
                <w:szCs w:val="18"/>
              </w:rPr>
            </w:pPr>
            <w:r>
              <w:rPr>
                <w:rFonts w:hint="eastAsia" w:ascii="宋体" w:hAnsi="宋体" w:cs="宋体"/>
                <w:kern w:val="0"/>
                <w:sz w:val="18"/>
                <w:szCs w:val="18"/>
              </w:rPr>
              <w:t>上杭县蛟洋工业园</w:t>
            </w:r>
          </w:p>
        </w:tc>
      </w:tr>
      <w:tr>
        <w:trPr>
          <w:trHeight w:val="240" w:hRule="atLeast"/>
        </w:trPr>
        <w:tc>
          <w:tcPr>
            <w:tcW w:w="490" w:type="dxa"/>
            <w:tcBorders>
              <w:top w:val="nil"/>
              <w:left w:val="single" w:color="auto" w:sz="4" w:space="0"/>
              <w:bottom w:val="single" w:color="auto" w:sz="4" w:space="0"/>
              <w:right w:val="single" w:color="auto" w:sz="4" w:space="0"/>
            </w:tcBorders>
            <w:shd w:val="clear" w:color="auto" w:fill="D9D9D9"/>
            <w:vAlign w:val="center"/>
          </w:tcPr>
          <w:p>
            <w:pPr>
              <w:widowControl/>
              <w:jc w:val="center"/>
              <w:rPr>
                <w:rFonts w:ascii="宋体" w:cs="Times New Roman"/>
                <w:b/>
                <w:bCs/>
                <w:kern w:val="0"/>
                <w:sz w:val="18"/>
                <w:szCs w:val="18"/>
              </w:rPr>
            </w:pPr>
            <w:r>
              <w:rPr>
                <w:rFonts w:hint="eastAsia" w:ascii="宋体" w:hAnsi="宋体" w:cs="宋体"/>
                <w:b/>
                <w:bCs/>
                <w:kern w:val="0"/>
                <w:sz w:val="18"/>
                <w:szCs w:val="18"/>
              </w:rPr>
              <w:t>　</w:t>
            </w:r>
          </w:p>
        </w:tc>
        <w:tc>
          <w:tcPr>
            <w:tcW w:w="2515" w:type="dxa"/>
            <w:tcBorders>
              <w:top w:val="nil"/>
              <w:left w:val="nil"/>
              <w:bottom w:val="single" w:color="auto" w:sz="4" w:space="0"/>
              <w:right w:val="single" w:color="auto" w:sz="4" w:space="0"/>
            </w:tcBorders>
            <w:shd w:val="clear" w:color="auto" w:fill="D9D9D9"/>
            <w:vAlign w:val="center"/>
          </w:tcPr>
          <w:p>
            <w:pPr>
              <w:widowControl/>
              <w:jc w:val="left"/>
              <w:rPr>
                <w:rFonts w:ascii="宋体" w:cs="Times New Roman"/>
                <w:b/>
                <w:bCs/>
                <w:kern w:val="0"/>
                <w:sz w:val="18"/>
                <w:szCs w:val="18"/>
              </w:rPr>
            </w:pPr>
            <w:r>
              <w:rPr>
                <w:rFonts w:hint="eastAsia" w:ascii="宋体" w:hAnsi="宋体" w:cs="宋体"/>
                <w:b/>
                <w:bCs/>
                <w:kern w:val="0"/>
                <w:sz w:val="18"/>
                <w:szCs w:val="18"/>
              </w:rPr>
              <w:t>合计</w:t>
            </w:r>
          </w:p>
        </w:tc>
        <w:tc>
          <w:tcPr>
            <w:tcW w:w="2332" w:type="dxa"/>
            <w:tcBorders>
              <w:top w:val="nil"/>
              <w:left w:val="nil"/>
              <w:bottom w:val="single" w:color="auto" w:sz="4" w:space="0"/>
              <w:right w:val="single" w:color="auto" w:sz="4" w:space="0"/>
            </w:tcBorders>
            <w:shd w:val="clear" w:color="auto" w:fill="D9D9D9"/>
            <w:vAlign w:val="center"/>
          </w:tcPr>
          <w:p>
            <w:pPr>
              <w:widowControl/>
              <w:jc w:val="left"/>
              <w:rPr>
                <w:rFonts w:ascii="宋体" w:cs="Times New Roman"/>
                <w:b/>
                <w:bCs/>
                <w:kern w:val="0"/>
                <w:sz w:val="18"/>
                <w:szCs w:val="18"/>
              </w:rPr>
            </w:pPr>
            <w:r>
              <w:rPr>
                <w:rFonts w:hint="eastAsia" w:ascii="宋体" w:hAnsi="宋体" w:cs="宋体"/>
                <w:b/>
                <w:bCs/>
                <w:kern w:val="0"/>
                <w:sz w:val="18"/>
                <w:szCs w:val="18"/>
              </w:rPr>
              <w:t>　</w:t>
            </w:r>
          </w:p>
        </w:tc>
        <w:tc>
          <w:tcPr>
            <w:tcW w:w="3476" w:type="dxa"/>
            <w:tcBorders>
              <w:top w:val="nil"/>
              <w:left w:val="nil"/>
              <w:bottom w:val="single" w:color="auto" w:sz="4" w:space="0"/>
              <w:right w:val="single" w:color="auto" w:sz="4" w:space="0"/>
            </w:tcBorders>
            <w:shd w:val="clear" w:color="auto" w:fill="D9D9D9"/>
            <w:vAlign w:val="center"/>
          </w:tcPr>
          <w:p>
            <w:pPr>
              <w:widowControl/>
              <w:jc w:val="left"/>
              <w:rPr>
                <w:rFonts w:ascii="宋体" w:cs="Times New Roman"/>
                <w:b/>
                <w:bCs/>
                <w:kern w:val="0"/>
                <w:sz w:val="18"/>
                <w:szCs w:val="18"/>
              </w:rPr>
            </w:pPr>
            <w:r>
              <w:rPr>
                <w:rFonts w:hint="eastAsia" w:ascii="宋体" w:hAnsi="宋体" w:cs="宋体"/>
                <w:b/>
                <w:bCs/>
                <w:kern w:val="0"/>
                <w:sz w:val="18"/>
                <w:szCs w:val="18"/>
              </w:rPr>
              <w:t>　</w:t>
            </w:r>
          </w:p>
        </w:tc>
        <w:tc>
          <w:tcPr>
            <w:tcW w:w="1149" w:type="dxa"/>
            <w:tcBorders>
              <w:top w:val="nil"/>
              <w:left w:val="nil"/>
              <w:bottom w:val="single" w:color="auto" w:sz="4" w:space="0"/>
              <w:right w:val="single" w:color="auto" w:sz="4" w:space="0"/>
            </w:tcBorders>
            <w:shd w:val="clear" w:color="auto" w:fill="D9D9D9"/>
            <w:vAlign w:val="center"/>
          </w:tcPr>
          <w:p>
            <w:pPr>
              <w:widowControl/>
              <w:jc w:val="center"/>
              <w:rPr>
                <w:rFonts w:ascii="宋体" w:cs="Times New Roman"/>
                <w:b/>
                <w:bCs/>
                <w:kern w:val="0"/>
                <w:sz w:val="18"/>
                <w:szCs w:val="18"/>
              </w:rPr>
            </w:pPr>
            <w:r>
              <w:rPr>
                <w:rFonts w:ascii="宋体" w:hAnsi="宋体" w:cs="宋体"/>
                <w:b/>
                <w:bCs/>
                <w:kern w:val="0"/>
                <w:sz w:val="18"/>
                <w:szCs w:val="18"/>
              </w:rPr>
              <w:t>538,000</w:t>
            </w:r>
          </w:p>
        </w:tc>
        <w:tc>
          <w:tcPr>
            <w:tcW w:w="1059" w:type="dxa"/>
            <w:tcBorders>
              <w:top w:val="nil"/>
              <w:left w:val="nil"/>
              <w:bottom w:val="single" w:color="auto" w:sz="4" w:space="0"/>
              <w:right w:val="single" w:color="auto" w:sz="4" w:space="0"/>
            </w:tcBorders>
            <w:shd w:val="clear" w:color="auto" w:fill="D9D9D9"/>
            <w:vAlign w:val="center"/>
          </w:tcPr>
          <w:p>
            <w:pPr>
              <w:widowControl/>
              <w:jc w:val="center"/>
              <w:rPr>
                <w:rFonts w:ascii="宋体" w:cs="Times New Roman"/>
                <w:b/>
                <w:bCs/>
                <w:kern w:val="0"/>
                <w:sz w:val="18"/>
                <w:szCs w:val="18"/>
              </w:rPr>
            </w:pPr>
            <w:r>
              <w:rPr>
                <w:rFonts w:ascii="宋体" w:hAnsi="宋体" w:cs="宋体"/>
                <w:b/>
                <w:bCs/>
                <w:kern w:val="0"/>
                <w:sz w:val="18"/>
                <w:szCs w:val="18"/>
              </w:rPr>
              <w:t>2,837,400</w:t>
            </w:r>
          </w:p>
        </w:tc>
        <w:tc>
          <w:tcPr>
            <w:tcW w:w="1328" w:type="dxa"/>
            <w:tcBorders>
              <w:top w:val="nil"/>
              <w:left w:val="nil"/>
              <w:bottom w:val="single" w:color="auto" w:sz="4" w:space="0"/>
              <w:right w:val="single" w:color="auto" w:sz="4" w:space="0"/>
            </w:tcBorders>
            <w:shd w:val="clear" w:color="auto" w:fill="D9D9D9"/>
            <w:vAlign w:val="center"/>
          </w:tcPr>
          <w:p>
            <w:pPr>
              <w:widowControl/>
              <w:jc w:val="center"/>
              <w:rPr>
                <w:rFonts w:ascii="宋体" w:cs="Times New Roman"/>
                <w:b/>
                <w:bCs/>
                <w:kern w:val="0"/>
                <w:sz w:val="18"/>
                <w:szCs w:val="18"/>
              </w:rPr>
            </w:pPr>
          </w:p>
        </w:tc>
        <w:tc>
          <w:tcPr>
            <w:tcW w:w="1672" w:type="dxa"/>
            <w:tcBorders>
              <w:top w:val="nil"/>
              <w:left w:val="nil"/>
              <w:bottom w:val="single" w:color="auto" w:sz="4" w:space="0"/>
              <w:right w:val="single" w:color="auto" w:sz="4" w:space="0"/>
            </w:tcBorders>
            <w:shd w:val="clear" w:color="auto" w:fill="D9D9D9"/>
            <w:vAlign w:val="center"/>
          </w:tcPr>
          <w:p>
            <w:pPr>
              <w:widowControl/>
              <w:jc w:val="center"/>
              <w:rPr>
                <w:rFonts w:ascii="宋体" w:cs="Times New Roman"/>
                <w:b/>
                <w:bCs/>
                <w:kern w:val="0"/>
                <w:sz w:val="18"/>
                <w:szCs w:val="18"/>
              </w:rPr>
            </w:pPr>
          </w:p>
        </w:tc>
      </w:tr>
    </w:tbl>
    <w:p>
      <w:pPr>
        <w:spacing w:beforeLines="50"/>
        <w:jc w:val="center"/>
        <w:rPr>
          <w:rFonts w:ascii="仿宋" w:hAnsi="仿宋" w:eastAsia="仿宋" w:cs="Times New Roman"/>
          <w:sz w:val="28"/>
          <w:szCs w:val="28"/>
        </w:rPr>
      </w:pPr>
      <w:r>
        <w:rPr>
          <w:rStyle w:val="16"/>
          <w:rFonts w:hint="eastAsia" w:ascii="黑体" w:hAnsi="黑体" w:eastAsia="黑体" w:cs="黑体"/>
          <w:b w:val="0"/>
          <w:bCs w:val="0"/>
        </w:rPr>
        <w:t>附表</w:t>
      </w:r>
      <w:r>
        <w:rPr>
          <w:rStyle w:val="16"/>
          <w:rFonts w:ascii="黑体" w:hAnsi="黑体" w:eastAsia="黑体" w:cs="黑体"/>
          <w:b w:val="0"/>
          <w:bCs w:val="0"/>
        </w:rPr>
        <w:t xml:space="preserve">1-3  </w:t>
      </w:r>
      <w:r>
        <w:rPr>
          <w:rStyle w:val="16"/>
          <w:rFonts w:hint="eastAsia" w:ascii="黑体" w:hAnsi="黑体" w:eastAsia="黑体" w:cs="黑体"/>
          <w:b w:val="0"/>
          <w:bCs w:val="0"/>
        </w:rPr>
        <w:t>“十四五”龙岩市稀土、钨等产业重点规划项目</w:t>
      </w:r>
      <w:r>
        <w:rPr>
          <w:rStyle w:val="16"/>
          <w:rFonts w:ascii="黑体" w:hAnsi="黑体" w:eastAsia="黑体" w:cs="黑体"/>
          <w:b w:val="0"/>
          <w:bCs w:val="0"/>
        </w:rPr>
        <w:t xml:space="preserve">    </w:t>
      </w:r>
      <w:r>
        <w:rPr>
          <w:rStyle w:val="16"/>
          <w:rFonts w:hint="eastAsia" w:ascii="黑体" w:hAnsi="黑体" w:eastAsia="黑体" w:cs="黑体"/>
          <w:b w:val="0"/>
          <w:bCs w:val="0"/>
        </w:rPr>
        <w:t>单位：万元</w:t>
      </w:r>
    </w:p>
    <w:tbl>
      <w:tblPr>
        <w:tblW w:w="14174"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
      <w:tblGrid>
        <w:gridCol w:w="714"/>
        <w:gridCol w:w="2577"/>
        <w:gridCol w:w="1718"/>
        <w:gridCol w:w="4153"/>
        <w:gridCol w:w="1242"/>
        <w:gridCol w:w="1213"/>
        <w:gridCol w:w="2557"/>
      </w:tblGrid>
      <w:tr>
        <w:trPr>
          <w:trHeight w:val="480" w:hRule="atLeast"/>
          <w:tblHeader/>
        </w:trPr>
        <w:tc>
          <w:tcPr>
            <w:tcW w:w="714" w:type="dxa"/>
            <w:shd w:val="clear" w:color="auto" w:fill="D9D9D9"/>
            <w:vAlign w:val="center"/>
          </w:tcPr>
          <w:p>
            <w:pPr>
              <w:widowControl/>
              <w:ind w:left="31680" w:leftChars="-53" w:hangingChars="62" w:firstLine="31680"/>
              <w:jc w:val="center"/>
              <w:rPr>
                <w:rFonts w:ascii="宋体" w:cs="Times New Roman"/>
                <w:b/>
                <w:bCs/>
                <w:kern w:val="0"/>
                <w:sz w:val="18"/>
                <w:szCs w:val="18"/>
              </w:rPr>
            </w:pPr>
            <w:r>
              <w:rPr>
                <w:rFonts w:hint="eastAsia" w:ascii="宋体" w:hAnsi="宋体" w:cs="宋体"/>
                <w:b/>
                <w:bCs/>
                <w:kern w:val="0"/>
                <w:sz w:val="18"/>
                <w:szCs w:val="18"/>
              </w:rPr>
              <w:t>序号</w:t>
            </w:r>
          </w:p>
        </w:tc>
        <w:tc>
          <w:tcPr>
            <w:tcW w:w="2577" w:type="dxa"/>
            <w:shd w:val="clear" w:color="000000" w:fill="D8D8D8"/>
            <w:vAlign w:val="center"/>
          </w:tcPr>
          <w:p>
            <w:pPr>
              <w:widowControl/>
              <w:jc w:val="left"/>
              <w:rPr>
                <w:rFonts w:ascii="宋体" w:cs="Times New Roman"/>
                <w:b/>
                <w:bCs/>
                <w:kern w:val="0"/>
                <w:sz w:val="18"/>
                <w:szCs w:val="18"/>
              </w:rPr>
            </w:pPr>
            <w:r>
              <w:rPr>
                <w:rFonts w:hint="eastAsia" w:ascii="宋体" w:hAnsi="宋体" w:cs="宋体"/>
                <w:b/>
                <w:bCs/>
                <w:kern w:val="0"/>
                <w:sz w:val="18"/>
                <w:szCs w:val="18"/>
              </w:rPr>
              <w:t>项目名称</w:t>
            </w:r>
          </w:p>
        </w:tc>
        <w:tc>
          <w:tcPr>
            <w:tcW w:w="1718" w:type="dxa"/>
            <w:shd w:val="clear" w:color="000000" w:fill="D8D8D8"/>
            <w:vAlign w:val="center"/>
          </w:tcPr>
          <w:p>
            <w:pPr>
              <w:widowControl/>
              <w:jc w:val="left"/>
              <w:rPr>
                <w:rFonts w:ascii="宋体" w:cs="Times New Roman"/>
                <w:b/>
                <w:bCs/>
                <w:kern w:val="0"/>
                <w:sz w:val="18"/>
                <w:szCs w:val="18"/>
              </w:rPr>
            </w:pPr>
            <w:r>
              <w:rPr>
                <w:rFonts w:hint="eastAsia" w:ascii="宋体" w:hAnsi="宋体" w:cs="宋体"/>
                <w:b/>
                <w:bCs/>
                <w:kern w:val="0"/>
                <w:sz w:val="18"/>
                <w:szCs w:val="18"/>
              </w:rPr>
              <w:t>依托企业或招商企业名称</w:t>
            </w:r>
          </w:p>
        </w:tc>
        <w:tc>
          <w:tcPr>
            <w:tcW w:w="4153" w:type="dxa"/>
            <w:shd w:val="clear" w:color="000000" w:fill="D8D8D8"/>
            <w:vAlign w:val="center"/>
          </w:tcPr>
          <w:p>
            <w:pPr>
              <w:widowControl/>
              <w:jc w:val="left"/>
              <w:rPr>
                <w:rFonts w:ascii="宋体" w:cs="Times New Roman"/>
                <w:b/>
                <w:bCs/>
                <w:kern w:val="0"/>
                <w:sz w:val="18"/>
                <w:szCs w:val="18"/>
              </w:rPr>
            </w:pPr>
            <w:r>
              <w:rPr>
                <w:rFonts w:hint="eastAsia" w:ascii="宋体" w:hAnsi="宋体" w:cs="宋体"/>
                <w:b/>
                <w:bCs/>
                <w:kern w:val="0"/>
                <w:sz w:val="18"/>
                <w:szCs w:val="18"/>
              </w:rPr>
              <w:t>建设内容及规模</w:t>
            </w:r>
          </w:p>
        </w:tc>
        <w:tc>
          <w:tcPr>
            <w:tcW w:w="1242" w:type="dxa"/>
            <w:shd w:val="clear" w:color="000000" w:fill="D8D8D8"/>
            <w:vAlign w:val="center"/>
          </w:tcPr>
          <w:p>
            <w:pPr>
              <w:widowControl/>
              <w:jc w:val="right"/>
              <w:rPr>
                <w:rFonts w:ascii="宋体" w:cs="Times New Roman"/>
                <w:b/>
                <w:bCs/>
                <w:kern w:val="0"/>
                <w:sz w:val="18"/>
                <w:szCs w:val="18"/>
              </w:rPr>
            </w:pPr>
            <w:r>
              <w:rPr>
                <w:rFonts w:hint="eastAsia" w:ascii="宋体" w:hAnsi="宋体" w:cs="宋体"/>
                <w:b/>
                <w:bCs/>
                <w:kern w:val="0"/>
                <w:sz w:val="18"/>
                <w:szCs w:val="18"/>
              </w:rPr>
              <w:t>总投资</w:t>
            </w:r>
          </w:p>
        </w:tc>
        <w:tc>
          <w:tcPr>
            <w:tcW w:w="1213" w:type="dxa"/>
            <w:shd w:val="clear" w:color="000000" w:fill="D8D8D8"/>
            <w:vAlign w:val="center"/>
          </w:tcPr>
          <w:p>
            <w:pPr>
              <w:widowControl/>
              <w:jc w:val="right"/>
              <w:rPr>
                <w:rFonts w:ascii="宋体" w:cs="Times New Roman"/>
                <w:b/>
                <w:bCs/>
                <w:kern w:val="0"/>
                <w:sz w:val="18"/>
                <w:szCs w:val="18"/>
              </w:rPr>
            </w:pPr>
            <w:r>
              <w:rPr>
                <w:rFonts w:hint="eastAsia" w:ascii="宋体" w:hAnsi="宋体" w:cs="宋体"/>
                <w:b/>
                <w:bCs/>
                <w:kern w:val="0"/>
                <w:sz w:val="18"/>
                <w:szCs w:val="18"/>
              </w:rPr>
              <w:t>达产后产值</w:t>
            </w:r>
            <w:r>
              <w:rPr>
                <w:rFonts w:ascii="宋体" w:hAnsi="宋体" w:cs="宋体"/>
                <w:b/>
                <w:bCs/>
                <w:kern w:val="0"/>
                <w:sz w:val="18"/>
                <w:szCs w:val="18"/>
              </w:rPr>
              <w:t xml:space="preserve">   </w:t>
            </w:r>
          </w:p>
        </w:tc>
        <w:tc>
          <w:tcPr>
            <w:tcW w:w="2557" w:type="dxa"/>
            <w:shd w:val="clear" w:color="000000" w:fill="D8D8D8"/>
            <w:vAlign w:val="center"/>
          </w:tcPr>
          <w:p>
            <w:pPr>
              <w:widowControl/>
              <w:jc w:val="center"/>
              <w:rPr>
                <w:rFonts w:ascii="宋体" w:cs="Times New Roman"/>
                <w:b/>
                <w:bCs/>
                <w:kern w:val="0"/>
                <w:sz w:val="18"/>
                <w:szCs w:val="18"/>
              </w:rPr>
            </w:pPr>
            <w:r>
              <w:rPr>
                <w:rFonts w:hint="eastAsia" w:ascii="宋体" w:hAnsi="宋体" w:cs="宋体"/>
                <w:b/>
                <w:bCs/>
                <w:kern w:val="0"/>
                <w:sz w:val="18"/>
                <w:szCs w:val="18"/>
              </w:rPr>
              <w:t>建设地</w:t>
            </w:r>
          </w:p>
        </w:tc>
      </w:tr>
      <w:tr>
        <w:trPr>
          <w:trHeight w:val="461" w:hRule="atLeast"/>
        </w:trPr>
        <w:tc>
          <w:tcPr>
            <w:tcW w:w="714" w:type="dxa"/>
            <w:shd w:val="clear" w:color="auto" w:fill="D9D9D9"/>
            <w:vAlign w:val="center"/>
          </w:tcPr>
          <w:p>
            <w:pPr>
              <w:widowControl/>
              <w:jc w:val="center"/>
              <w:rPr>
                <w:rFonts w:ascii="宋体" w:cs="Times New Roman"/>
                <w:b/>
                <w:bCs/>
                <w:sz w:val="18"/>
                <w:szCs w:val="18"/>
              </w:rPr>
            </w:pPr>
            <w:r>
              <w:rPr>
                <w:b/>
                <w:bCs/>
                <w:sz w:val="18"/>
                <w:szCs w:val="18"/>
              </w:rPr>
              <w:t>132</w:t>
            </w:r>
          </w:p>
        </w:tc>
        <w:tc>
          <w:tcPr>
            <w:tcW w:w="2577" w:type="dxa"/>
            <w:vAlign w:val="center"/>
          </w:tcPr>
          <w:p>
            <w:pPr>
              <w:widowControl/>
              <w:jc w:val="left"/>
              <w:rPr>
                <w:rFonts w:ascii="宋体" w:cs="Times New Roman"/>
                <w:kern w:val="0"/>
                <w:sz w:val="18"/>
                <w:szCs w:val="18"/>
              </w:rPr>
            </w:pPr>
            <w:r>
              <w:rPr>
                <w:rFonts w:hint="eastAsia" w:ascii="宋体" w:hAnsi="宋体" w:cs="宋体"/>
                <w:kern w:val="0"/>
                <w:sz w:val="18"/>
                <w:szCs w:val="18"/>
              </w:rPr>
              <w:t>高性能烧结钕铁硼项目</w:t>
            </w:r>
          </w:p>
        </w:tc>
        <w:tc>
          <w:tcPr>
            <w:tcW w:w="1718" w:type="dxa"/>
            <w:vAlign w:val="center"/>
          </w:tcPr>
          <w:p>
            <w:pPr>
              <w:widowControl/>
              <w:jc w:val="left"/>
              <w:rPr>
                <w:rFonts w:ascii="宋体" w:cs="Times New Roman"/>
                <w:kern w:val="0"/>
                <w:sz w:val="18"/>
                <w:szCs w:val="18"/>
              </w:rPr>
            </w:pPr>
            <w:r>
              <w:rPr>
                <w:rFonts w:hint="eastAsia" w:ascii="宋体" w:hAnsi="宋体" w:cs="宋体"/>
                <w:kern w:val="0"/>
                <w:sz w:val="18"/>
                <w:szCs w:val="18"/>
              </w:rPr>
              <w:t>长汀金龙稀土公司</w:t>
            </w:r>
          </w:p>
        </w:tc>
        <w:tc>
          <w:tcPr>
            <w:tcW w:w="4153" w:type="dxa"/>
            <w:vAlign w:val="center"/>
          </w:tcPr>
          <w:p>
            <w:pPr>
              <w:widowControl/>
              <w:jc w:val="left"/>
              <w:rPr>
                <w:rFonts w:ascii="宋体" w:cs="Times New Roman"/>
                <w:kern w:val="0"/>
                <w:sz w:val="18"/>
                <w:szCs w:val="18"/>
              </w:rPr>
            </w:pPr>
            <w:r>
              <w:rPr>
                <w:rFonts w:hint="eastAsia" w:ascii="宋体" w:hAnsi="宋体" w:cs="宋体"/>
                <w:kern w:val="0"/>
                <w:sz w:val="18"/>
                <w:szCs w:val="18"/>
              </w:rPr>
              <w:t>扩建至</w:t>
            </w:r>
            <w:r>
              <w:rPr>
                <w:rFonts w:ascii="宋体" w:hAnsi="宋体" w:cs="宋体"/>
                <w:kern w:val="0"/>
                <w:sz w:val="18"/>
                <w:szCs w:val="18"/>
              </w:rPr>
              <w:t>10000</w:t>
            </w:r>
            <w:r>
              <w:rPr>
                <w:rFonts w:hint="eastAsia" w:ascii="宋体" w:hAnsi="宋体" w:cs="宋体"/>
                <w:kern w:val="0"/>
                <w:sz w:val="18"/>
                <w:szCs w:val="18"/>
              </w:rPr>
              <w:t>吨</w:t>
            </w:r>
            <w:r>
              <w:rPr>
                <w:rFonts w:ascii="宋体" w:hAnsi="宋体" w:cs="宋体"/>
                <w:kern w:val="0"/>
                <w:sz w:val="18"/>
                <w:szCs w:val="18"/>
              </w:rPr>
              <w:t>/</w:t>
            </w:r>
            <w:r>
              <w:rPr>
                <w:rFonts w:hint="eastAsia" w:ascii="宋体" w:hAnsi="宋体" w:cs="宋体"/>
                <w:kern w:val="0"/>
                <w:sz w:val="18"/>
                <w:szCs w:val="18"/>
              </w:rPr>
              <w:t>年高性能稀土永磁材料</w:t>
            </w:r>
          </w:p>
        </w:tc>
        <w:tc>
          <w:tcPr>
            <w:tcW w:w="1242" w:type="dxa"/>
            <w:vAlign w:val="center"/>
          </w:tcPr>
          <w:p>
            <w:pPr>
              <w:widowControl/>
              <w:jc w:val="right"/>
              <w:rPr>
                <w:rFonts w:ascii="宋体" w:cs="Times New Roman"/>
                <w:kern w:val="0"/>
                <w:sz w:val="18"/>
                <w:szCs w:val="18"/>
              </w:rPr>
            </w:pPr>
            <w:r>
              <w:rPr>
                <w:rFonts w:ascii="宋体" w:hAnsi="宋体" w:cs="宋体"/>
                <w:kern w:val="0"/>
                <w:sz w:val="18"/>
                <w:szCs w:val="18"/>
              </w:rPr>
              <w:t>50,000</w:t>
            </w:r>
          </w:p>
        </w:tc>
        <w:tc>
          <w:tcPr>
            <w:tcW w:w="1213" w:type="dxa"/>
            <w:vAlign w:val="center"/>
          </w:tcPr>
          <w:p>
            <w:pPr>
              <w:widowControl/>
              <w:jc w:val="right"/>
              <w:rPr>
                <w:rFonts w:ascii="宋体" w:cs="Times New Roman"/>
                <w:kern w:val="0"/>
                <w:sz w:val="18"/>
                <w:szCs w:val="18"/>
              </w:rPr>
            </w:pPr>
            <w:r>
              <w:rPr>
                <w:rFonts w:ascii="宋体" w:hAnsi="宋体" w:cs="宋体"/>
                <w:kern w:val="0"/>
                <w:sz w:val="18"/>
                <w:szCs w:val="18"/>
              </w:rPr>
              <w:t>200,000</w:t>
            </w:r>
          </w:p>
        </w:tc>
        <w:tc>
          <w:tcPr>
            <w:tcW w:w="2557" w:type="dxa"/>
            <w:vAlign w:val="center"/>
          </w:tcPr>
          <w:p>
            <w:pPr>
              <w:widowControl/>
              <w:jc w:val="left"/>
              <w:rPr>
                <w:rFonts w:ascii="宋体" w:cs="Times New Roman"/>
                <w:kern w:val="0"/>
                <w:sz w:val="18"/>
                <w:szCs w:val="18"/>
              </w:rPr>
            </w:pPr>
            <w:r>
              <w:rPr>
                <w:rFonts w:hint="eastAsia" w:ascii="宋体" w:hAnsi="宋体" w:cs="宋体"/>
                <w:kern w:val="0"/>
                <w:sz w:val="18"/>
                <w:szCs w:val="18"/>
              </w:rPr>
              <w:t>长汀经济开发区工业新区</w:t>
            </w:r>
          </w:p>
        </w:tc>
      </w:tr>
      <w:tr>
        <w:trPr>
          <w:trHeight w:val="464" w:hRule="atLeast"/>
        </w:trPr>
        <w:tc>
          <w:tcPr>
            <w:tcW w:w="714" w:type="dxa"/>
            <w:shd w:val="clear" w:color="auto" w:fill="D9D9D9"/>
            <w:vAlign w:val="center"/>
          </w:tcPr>
          <w:p>
            <w:pPr>
              <w:jc w:val="center"/>
              <w:rPr>
                <w:b/>
                <w:bCs/>
                <w:sz w:val="18"/>
                <w:szCs w:val="18"/>
              </w:rPr>
            </w:pPr>
            <w:r>
              <w:rPr>
                <w:b/>
                <w:bCs/>
                <w:sz w:val="18"/>
                <w:szCs w:val="18"/>
              </w:rPr>
              <w:t>133</w:t>
            </w:r>
          </w:p>
        </w:tc>
        <w:tc>
          <w:tcPr>
            <w:tcW w:w="2577" w:type="dxa"/>
            <w:vAlign w:val="center"/>
          </w:tcPr>
          <w:p>
            <w:pPr>
              <w:widowControl/>
              <w:jc w:val="left"/>
              <w:rPr>
                <w:rFonts w:ascii="宋体" w:cs="Times New Roman"/>
                <w:kern w:val="0"/>
                <w:sz w:val="18"/>
                <w:szCs w:val="18"/>
              </w:rPr>
            </w:pPr>
            <w:r>
              <w:rPr>
                <w:rFonts w:hint="eastAsia" w:ascii="宋体" w:hAnsi="宋体" w:cs="宋体"/>
                <w:kern w:val="0"/>
                <w:sz w:val="18"/>
                <w:szCs w:val="18"/>
              </w:rPr>
              <w:t>稀土储氢合金项目</w:t>
            </w:r>
          </w:p>
        </w:tc>
        <w:tc>
          <w:tcPr>
            <w:tcW w:w="1718" w:type="dxa"/>
            <w:vAlign w:val="center"/>
          </w:tcPr>
          <w:p>
            <w:pPr>
              <w:widowControl/>
              <w:jc w:val="left"/>
              <w:rPr>
                <w:rFonts w:ascii="宋体" w:cs="Times New Roman"/>
                <w:kern w:val="0"/>
                <w:sz w:val="18"/>
                <w:szCs w:val="18"/>
              </w:rPr>
            </w:pPr>
            <w:r>
              <w:rPr>
                <w:rFonts w:hint="eastAsia" w:ascii="宋体" w:hAnsi="宋体" w:cs="宋体"/>
                <w:kern w:val="0"/>
                <w:sz w:val="18"/>
                <w:szCs w:val="18"/>
              </w:rPr>
              <w:t>招商引资</w:t>
            </w:r>
          </w:p>
        </w:tc>
        <w:tc>
          <w:tcPr>
            <w:tcW w:w="4153" w:type="dxa"/>
            <w:vAlign w:val="center"/>
          </w:tcPr>
          <w:p>
            <w:pPr>
              <w:widowControl/>
              <w:jc w:val="left"/>
              <w:rPr>
                <w:rFonts w:ascii="宋体" w:cs="Times New Roman"/>
                <w:kern w:val="0"/>
                <w:sz w:val="18"/>
                <w:szCs w:val="18"/>
              </w:rPr>
            </w:pPr>
            <w:r>
              <w:rPr>
                <w:rFonts w:hint="eastAsia" w:ascii="宋体" w:hAnsi="宋体" w:cs="宋体"/>
                <w:kern w:val="0"/>
                <w:sz w:val="18"/>
                <w:szCs w:val="18"/>
              </w:rPr>
              <w:t>年产</w:t>
            </w:r>
            <w:r>
              <w:rPr>
                <w:rFonts w:ascii="宋体" w:hAnsi="宋体" w:cs="宋体"/>
                <w:kern w:val="0"/>
                <w:sz w:val="18"/>
                <w:szCs w:val="18"/>
              </w:rPr>
              <w:t>2000</w:t>
            </w:r>
            <w:r>
              <w:rPr>
                <w:rFonts w:hint="eastAsia" w:ascii="宋体" w:hAnsi="宋体" w:cs="宋体"/>
                <w:kern w:val="0"/>
                <w:sz w:val="18"/>
                <w:szCs w:val="18"/>
              </w:rPr>
              <w:t>吨新能源汽车用稀土储氢合金材料</w:t>
            </w:r>
          </w:p>
        </w:tc>
        <w:tc>
          <w:tcPr>
            <w:tcW w:w="1242" w:type="dxa"/>
            <w:vAlign w:val="center"/>
          </w:tcPr>
          <w:p>
            <w:pPr>
              <w:widowControl/>
              <w:jc w:val="right"/>
              <w:rPr>
                <w:rFonts w:ascii="宋体" w:cs="Times New Roman"/>
                <w:kern w:val="0"/>
                <w:sz w:val="18"/>
                <w:szCs w:val="18"/>
              </w:rPr>
            </w:pPr>
            <w:r>
              <w:rPr>
                <w:rFonts w:ascii="宋体" w:hAnsi="宋体" w:cs="宋体"/>
                <w:kern w:val="0"/>
                <w:sz w:val="18"/>
                <w:szCs w:val="18"/>
              </w:rPr>
              <w:t>20,000</w:t>
            </w:r>
          </w:p>
        </w:tc>
        <w:tc>
          <w:tcPr>
            <w:tcW w:w="1213" w:type="dxa"/>
            <w:vAlign w:val="center"/>
          </w:tcPr>
          <w:p>
            <w:pPr>
              <w:widowControl/>
              <w:jc w:val="right"/>
              <w:rPr>
                <w:rFonts w:ascii="宋体" w:cs="Times New Roman"/>
                <w:kern w:val="0"/>
                <w:sz w:val="18"/>
                <w:szCs w:val="18"/>
              </w:rPr>
            </w:pPr>
            <w:r>
              <w:rPr>
                <w:rFonts w:ascii="宋体" w:hAnsi="宋体" w:cs="宋体"/>
                <w:kern w:val="0"/>
                <w:sz w:val="18"/>
                <w:szCs w:val="18"/>
              </w:rPr>
              <w:t>40,000</w:t>
            </w:r>
          </w:p>
        </w:tc>
        <w:tc>
          <w:tcPr>
            <w:tcW w:w="2557" w:type="dxa"/>
            <w:vAlign w:val="center"/>
          </w:tcPr>
          <w:p>
            <w:pPr>
              <w:widowControl/>
              <w:jc w:val="left"/>
              <w:rPr>
                <w:rFonts w:ascii="宋体" w:cs="Times New Roman"/>
                <w:kern w:val="0"/>
                <w:sz w:val="18"/>
                <w:szCs w:val="18"/>
              </w:rPr>
            </w:pPr>
            <w:r>
              <w:rPr>
                <w:rFonts w:hint="eastAsia" w:ascii="宋体" w:hAnsi="宋体" w:cs="宋体"/>
                <w:kern w:val="0"/>
                <w:sz w:val="18"/>
                <w:szCs w:val="18"/>
              </w:rPr>
              <w:t>福建（龙岩）稀土工业园区</w:t>
            </w:r>
          </w:p>
        </w:tc>
      </w:tr>
      <w:tr>
        <w:trPr>
          <w:trHeight w:val="346" w:hRule="atLeast"/>
        </w:trPr>
        <w:tc>
          <w:tcPr>
            <w:tcW w:w="714" w:type="dxa"/>
            <w:shd w:val="clear" w:color="auto" w:fill="D9D9D9"/>
            <w:vAlign w:val="center"/>
          </w:tcPr>
          <w:p>
            <w:pPr>
              <w:jc w:val="center"/>
              <w:rPr>
                <w:b/>
                <w:bCs/>
                <w:sz w:val="18"/>
                <w:szCs w:val="18"/>
              </w:rPr>
            </w:pPr>
            <w:r>
              <w:rPr>
                <w:b/>
                <w:bCs/>
                <w:sz w:val="18"/>
                <w:szCs w:val="18"/>
              </w:rPr>
              <w:t>134</w:t>
            </w:r>
          </w:p>
        </w:tc>
        <w:tc>
          <w:tcPr>
            <w:tcW w:w="2577" w:type="dxa"/>
            <w:vAlign w:val="center"/>
          </w:tcPr>
          <w:p>
            <w:pPr>
              <w:widowControl/>
              <w:jc w:val="left"/>
              <w:rPr>
                <w:rFonts w:ascii="宋体" w:cs="Times New Roman"/>
                <w:kern w:val="0"/>
                <w:sz w:val="18"/>
                <w:szCs w:val="18"/>
              </w:rPr>
            </w:pPr>
            <w:r>
              <w:rPr>
                <w:rFonts w:hint="eastAsia" w:ascii="宋体" w:hAnsi="宋体" w:cs="宋体"/>
                <w:kern w:val="0"/>
                <w:sz w:val="18"/>
                <w:szCs w:val="18"/>
              </w:rPr>
              <w:t>稀土负极材料项目</w:t>
            </w:r>
          </w:p>
        </w:tc>
        <w:tc>
          <w:tcPr>
            <w:tcW w:w="1718" w:type="dxa"/>
            <w:vAlign w:val="center"/>
          </w:tcPr>
          <w:p>
            <w:pPr>
              <w:widowControl/>
              <w:jc w:val="left"/>
              <w:rPr>
                <w:rFonts w:ascii="宋体" w:cs="Times New Roman"/>
                <w:kern w:val="0"/>
                <w:sz w:val="18"/>
                <w:szCs w:val="18"/>
              </w:rPr>
            </w:pPr>
            <w:r>
              <w:rPr>
                <w:rFonts w:hint="eastAsia" w:ascii="宋体" w:hAnsi="宋体" w:cs="宋体"/>
                <w:kern w:val="0"/>
                <w:sz w:val="18"/>
                <w:szCs w:val="18"/>
              </w:rPr>
              <w:t>招商引资</w:t>
            </w:r>
          </w:p>
        </w:tc>
        <w:tc>
          <w:tcPr>
            <w:tcW w:w="4153" w:type="dxa"/>
            <w:vAlign w:val="center"/>
          </w:tcPr>
          <w:p>
            <w:pPr>
              <w:widowControl/>
              <w:jc w:val="left"/>
              <w:rPr>
                <w:rFonts w:ascii="宋体" w:cs="Times New Roman"/>
                <w:kern w:val="0"/>
                <w:sz w:val="18"/>
                <w:szCs w:val="18"/>
              </w:rPr>
            </w:pPr>
            <w:r>
              <w:rPr>
                <w:rFonts w:hint="eastAsia" w:ascii="宋体" w:hAnsi="宋体" w:cs="宋体"/>
                <w:kern w:val="0"/>
                <w:sz w:val="18"/>
                <w:szCs w:val="18"/>
              </w:rPr>
              <w:t>年产</w:t>
            </w:r>
            <w:r>
              <w:rPr>
                <w:rFonts w:ascii="宋体" w:hAnsi="宋体" w:cs="宋体"/>
                <w:kern w:val="0"/>
                <w:sz w:val="18"/>
                <w:szCs w:val="18"/>
              </w:rPr>
              <w:t>1000</w:t>
            </w:r>
            <w:r>
              <w:rPr>
                <w:rFonts w:hint="eastAsia" w:ascii="宋体" w:hAnsi="宋体" w:cs="宋体"/>
                <w:kern w:val="0"/>
                <w:sz w:val="18"/>
                <w:szCs w:val="18"/>
              </w:rPr>
              <w:t>吨氢燃料电池用稀土负极材料</w:t>
            </w:r>
          </w:p>
        </w:tc>
        <w:tc>
          <w:tcPr>
            <w:tcW w:w="1242" w:type="dxa"/>
            <w:vAlign w:val="center"/>
          </w:tcPr>
          <w:p>
            <w:pPr>
              <w:widowControl/>
              <w:jc w:val="right"/>
              <w:rPr>
                <w:rFonts w:ascii="宋体" w:cs="Times New Roman"/>
                <w:kern w:val="0"/>
                <w:sz w:val="18"/>
                <w:szCs w:val="18"/>
              </w:rPr>
            </w:pPr>
            <w:r>
              <w:rPr>
                <w:rFonts w:ascii="宋体" w:hAnsi="宋体" w:cs="宋体"/>
                <w:kern w:val="0"/>
                <w:sz w:val="18"/>
                <w:szCs w:val="18"/>
              </w:rPr>
              <w:t>30,000</w:t>
            </w:r>
          </w:p>
        </w:tc>
        <w:tc>
          <w:tcPr>
            <w:tcW w:w="1213" w:type="dxa"/>
            <w:vAlign w:val="center"/>
          </w:tcPr>
          <w:p>
            <w:pPr>
              <w:widowControl/>
              <w:jc w:val="right"/>
              <w:rPr>
                <w:rFonts w:ascii="宋体" w:cs="Times New Roman"/>
                <w:kern w:val="0"/>
                <w:sz w:val="18"/>
                <w:szCs w:val="18"/>
              </w:rPr>
            </w:pPr>
            <w:r>
              <w:rPr>
                <w:rFonts w:ascii="宋体" w:hAnsi="宋体" w:cs="宋体"/>
                <w:kern w:val="0"/>
                <w:sz w:val="18"/>
                <w:szCs w:val="18"/>
              </w:rPr>
              <w:t>50,000</w:t>
            </w:r>
          </w:p>
        </w:tc>
        <w:tc>
          <w:tcPr>
            <w:tcW w:w="2557" w:type="dxa"/>
            <w:vAlign w:val="center"/>
          </w:tcPr>
          <w:p>
            <w:pPr>
              <w:widowControl/>
              <w:jc w:val="left"/>
              <w:rPr>
                <w:rFonts w:ascii="宋体" w:cs="Times New Roman"/>
                <w:kern w:val="0"/>
                <w:sz w:val="18"/>
                <w:szCs w:val="18"/>
              </w:rPr>
            </w:pPr>
            <w:r>
              <w:rPr>
                <w:rFonts w:hint="eastAsia" w:ascii="宋体" w:hAnsi="宋体" w:cs="宋体"/>
                <w:kern w:val="0"/>
                <w:sz w:val="18"/>
                <w:szCs w:val="18"/>
              </w:rPr>
              <w:t>福建（龙岩）稀土工业园区</w:t>
            </w:r>
          </w:p>
        </w:tc>
      </w:tr>
      <w:tr>
        <w:trPr>
          <w:trHeight w:val="280" w:hRule="atLeast"/>
        </w:trPr>
        <w:tc>
          <w:tcPr>
            <w:tcW w:w="714" w:type="dxa"/>
            <w:shd w:val="clear" w:color="auto" w:fill="D9D9D9"/>
            <w:vAlign w:val="center"/>
          </w:tcPr>
          <w:p>
            <w:pPr>
              <w:jc w:val="center"/>
              <w:rPr>
                <w:b/>
                <w:bCs/>
                <w:sz w:val="18"/>
                <w:szCs w:val="18"/>
              </w:rPr>
            </w:pPr>
            <w:r>
              <w:rPr>
                <w:b/>
                <w:bCs/>
                <w:sz w:val="18"/>
                <w:szCs w:val="18"/>
              </w:rPr>
              <w:t>135</w:t>
            </w:r>
          </w:p>
        </w:tc>
        <w:tc>
          <w:tcPr>
            <w:tcW w:w="2577" w:type="dxa"/>
            <w:vAlign w:val="center"/>
          </w:tcPr>
          <w:p>
            <w:pPr>
              <w:widowControl/>
              <w:jc w:val="left"/>
              <w:rPr>
                <w:rFonts w:ascii="宋体" w:cs="Times New Roman"/>
                <w:kern w:val="0"/>
                <w:sz w:val="18"/>
                <w:szCs w:val="18"/>
              </w:rPr>
            </w:pPr>
            <w:r>
              <w:rPr>
                <w:rFonts w:hint="eastAsia" w:ascii="宋体" w:hAnsi="宋体" w:cs="宋体"/>
                <w:kern w:val="0"/>
                <w:sz w:val="18"/>
                <w:szCs w:val="18"/>
              </w:rPr>
              <w:t>贮氢系统项目</w:t>
            </w:r>
          </w:p>
        </w:tc>
        <w:tc>
          <w:tcPr>
            <w:tcW w:w="1718" w:type="dxa"/>
            <w:vAlign w:val="center"/>
          </w:tcPr>
          <w:p>
            <w:pPr>
              <w:widowControl/>
              <w:jc w:val="left"/>
              <w:rPr>
                <w:rFonts w:ascii="宋体" w:cs="Times New Roman"/>
                <w:kern w:val="0"/>
                <w:sz w:val="18"/>
                <w:szCs w:val="18"/>
              </w:rPr>
            </w:pPr>
            <w:r>
              <w:rPr>
                <w:rFonts w:hint="eastAsia" w:ascii="宋体" w:hAnsi="宋体" w:cs="宋体"/>
                <w:kern w:val="0"/>
                <w:sz w:val="18"/>
                <w:szCs w:val="18"/>
              </w:rPr>
              <w:t>招商引资</w:t>
            </w:r>
          </w:p>
        </w:tc>
        <w:tc>
          <w:tcPr>
            <w:tcW w:w="4153" w:type="dxa"/>
            <w:vAlign w:val="center"/>
          </w:tcPr>
          <w:p>
            <w:pPr>
              <w:widowControl/>
              <w:jc w:val="left"/>
              <w:rPr>
                <w:rFonts w:ascii="宋体" w:cs="Times New Roman"/>
                <w:kern w:val="0"/>
                <w:sz w:val="18"/>
                <w:szCs w:val="18"/>
              </w:rPr>
            </w:pPr>
            <w:r>
              <w:rPr>
                <w:rFonts w:hint="eastAsia" w:ascii="宋体" w:hAnsi="宋体" w:cs="宋体"/>
                <w:kern w:val="0"/>
                <w:sz w:val="18"/>
                <w:szCs w:val="18"/>
              </w:rPr>
              <w:t>年产</w:t>
            </w:r>
            <w:r>
              <w:rPr>
                <w:rFonts w:ascii="宋体" w:hAnsi="宋体" w:cs="宋体"/>
                <w:kern w:val="0"/>
                <w:sz w:val="18"/>
                <w:szCs w:val="18"/>
              </w:rPr>
              <w:t>1</w:t>
            </w:r>
            <w:r>
              <w:rPr>
                <w:rFonts w:hint="eastAsia" w:ascii="宋体" w:hAnsi="宋体" w:cs="宋体"/>
                <w:kern w:val="0"/>
                <w:sz w:val="18"/>
                <w:szCs w:val="18"/>
              </w:rPr>
              <w:t>万台（套）氢燃料电池用储氢系统</w:t>
            </w:r>
          </w:p>
        </w:tc>
        <w:tc>
          <w:tcPr>
            <w:tcW w:w="1242" w:type="dxa"/>
            <w:vAlign w:val="center"/>
          </w:tcPr>
          <w:p>
            <w:pPr>
              <w:widowControl/>
              <w:jc w:val="right"/>
              <w:rPr>
                <w:rFonts w:ascii="宋体" w:cs="Times New Roman"/>
                <w:kern w:val="0"/>
                <w:sz w:val="18"/>
                <w:szCs w:val="18"/>
              </w:rPr>
            </w:pPr>
            <w:r>
              <w:rPr>
                <w:rFonts w:ascii="宋体" w:hAnsi="宋体" w:cs="宋体"/>
                <w:kern w:val="0"/>
                <w:sz w:val="18"/>
                <w:szCs w:val="18"/>
              </w:rPr>
              <w:t>40,000</w:t>
            </w:r>
          </w:p>
        </w:tc>
        <w:tc>
          <w:tcPr>
            <w:tcW w:w="1213" w:type="dxa"/>
            <w:vAlign w:val="center"/>
          </w:tcPr>
          <w:p>
            <w:pPr>
              <w:widowControl/>
              <w:jc w:val="right"/>
              <w:rPr>
                <w:rFonts w:ascii="宋体" w:cs="Times New Roman"/>
                <w:kern w:val="0"/>
                <w:sz w:val="18"/>
                <w:szCs w:val="18"/>
              </w:rPr>
            </w:pPr>
            <w:r>
              <w:rPr>
                <w:rFonts w:ascii="宋体" w:hAnsi="宋体" w:cs="宋体"/>
                <w:kern w:val="0"/>
                <w:sz w:val="18"/>
                <w:szCs w:val="18"/>
              </w:rPr>
              <w:t>100,000</w:t>
            </w:r>
          </w:p>
        </w:tc>
        <w:tc>
          <w:tcPr>
            <w:tcW w:w="2557" w:type="dxa"/>
            <w:vAlign w:val="center"/>
          </w:tcPr>
          <w:p>
            <w:pPr>
              <w:widowControl/>
              <w:jc w:val="left"/>
              <w:rPr>
                <w:rFonts w:ascii="宋体" w:cs="Times New Roman"/>
                <w:kern w:val="0"/>
                <w:sz w:val="18"/>
                <w:szCs w:val="18"/>
              </w:rPr>
            </w:pPr>
            <w:r>
              <w:rPr>
                <w:rFonts w:hint="eastAsia" w:ascii="宋体" w:hAnsi="宋体" w:cs="宋体"/>
                <w:kern w:val="0"/>
                <w:sz w:val="18"/>
                <w:szCs w:val="18"/>
              </w:rPr>
              <w:t>福建（龙岩）稀土工业园区</w:t>
            </w:r>
          </w:p>
        </w:tc>
      </w:tr>
      <w:tr>
        <w:trPr>
          <w:trHeight w:val="384" w:hRule="atLeast"/>
        </w:trPr>
        <w:tc>
          <w:tcPr>
            <w:tcW w:w="714" w:type="dxa"/>
            <w:shd w:val="clear" w:color="auto" w:fill="D9D9D9"/>
            <w:vAlign w:val="center"/>
          </w:tcPr>
          <w:p>
            <w:pPr>
              <w:jc w:val="center"/>
              <w:rPr>
                <w:b/>
                <w:bCs/>
                <w:sz w:val="18"/>
                <w:szCs w:val="18"/>
              </w:rPr>
            </w:pPr>
            <w:r>
              <w:rPr>
                <w:b/>
                <w:bCs/>
                <w:sz w:val="18"/>
                <w:szCs w:val="18"/>
              </w:rPr>
              <w:t>136</w:t>
            </w:r>
          </w:p>
        </w:tc>
        <w:tc>
          <w:tcPr>
            <w:tcW w:w="2577" w:type="dxa"/>
            <w:vAlign w:val="center"/>
          </w:tcPr>
          <w:p>
            <w:pPr>
              <w:widowControl/>
              <w:jc w:val="left"/>
              <w:rPr>
                <w:rFonts w:ascii="宋体" w:cs="Times New Roman"/>
                <w:kern w:val="0"/>
                <w:sz w:val="18"/>
                <w:szCs w:val="18"/>
              </w:rPr>
            </w:pPr>
            <w:r>
              <w:rPr>
                <w:rFonts w:hint="eastAsia" w:ascii="宋体" w:hAnsi="宋体" w:cs="宋体"/>
                <w:kern w:val="0"/>
                <w:sz w:val="18"/>
                <w:szCs w:val="18"/>
              </w:rPr>
              <w:t>石油裂化催化剂</w:t>
            </w:r>
          </w:p>
        </w:tc>
        <w:tc>
          <w:tcPr>
            <w:tcW w:w="1718" w:type="dxa"/>
            <w:vAlign w:val="center"/>
          </w:tcPr>
          <w:p>
            <w:pPr>
              <w:widowControl/>
              <w:jc w:val="left"/>
              <w:rPr>
                <w:rFonts w:ascii="宋体" w:cs="Times New Roman"/>
                <w:kern w:val="0"/>
                <w:sz w:val="18"/>
                <w:szCs w:val="18"/>
              </w:rPr>
            </w:pPr>
            <w:r>
              <w:rPr>
                <w:rFonts w:hint="eastAsia" w:ascii="宋体" w:hAnsi="宋体" w:cs="宋体"/>
                <w:kern w:val="0"/>
                <w:sz w:val="18"/>
                <w:szCs w:val="18"/>
              </w:rPr>
              <w:t>中油（长汀）催化剂有限公司</w:t>
            </w:r>
          </w:p>
        </w:tc>
        <w:tc>
          <w:tcPr>
            <w:tcW w:w="4153" w:type="dxa"/>
            <w:vAlign w:val="center"/>
          </w:tcPr>
          <w:p>
            <w:pPr>
              <w:widowControl/>
              <w:jc w:val="left"/>
              <w:rPr>
                <w:rFonts w:ascii="宋体" w:cs="Times New Roman"/>
                <w:kern w:val="0"/>
                <w:sz w:val="18"/>
                <w:szCs w:val="18"/>
              </w:rPr>
            </w:pPr>
            <w:r>
              <w:rPr>
                <w:rFonts w:hint="eastAsia" w:ascii="宋体" w:hAnsi="宋体" w:cs="宋体"/>
                <w:kern w:val="0"/>
                <w:sz w:val="18"/>
                <w:szCs w:val="18"/>
              </w:rPr>
              <w:t>年产</w:t>
            </w:r>
            <w:r>
              <w:rPr>
                <w:rFonts w:ascii="宋体" w:hAnsi="宋体" w:cs="宋体"/>
                <w:kern w:val="0"/>
                <w:sz w:val="18"/>
                <w:szCs w:val="18"/>
              </w:rPr>
              <w:t>10</w:t>
            </w:r>
            <w:r>
              <w:rPr>
                <w:rFonts w:hint="eastAsia" w:ascii="宋体" w:hAnsi="宋体" w:cs="宋体"/>
                <w:kern w:val="0"/>
                <w:sz w:val="18"/>
                <w:szCs w:val="18"/>
              </w:rPr>
              <w:t>万吨（首期</w:t>
            </w:r>
            <w:r>
              <w:rPr>
                <w:rFonts w:ascii="宋体" w:hAnsi="宋体" w:cs="宋体"/>
                <w:kern w:val="0"/>
                <w:sz w:val="18"/>
                <w:szCs w:val="18"/>
              </w:rPr>
              <w:t>5</w:t>
            </w:r>
            <w:r>
              <w:rPr>
                <w:rFonts w:hint="eastAsia" w:ascii="宋体" w:hAnsi="宋体" w:cs="宋体"/>
                <w:kern w:val="0"/>
                <w:sz w:val="18"/>
                <w:szCs w:val="18"/>
              </w:rPr>
              <w:t>万吨）石油裂化催化剂生产线。</w:t>
            </w:r>
          </w:p>
        </w:tc>
        <w:tc>
          <w:tcPr>
            <w:tcW w:w="1242" w:type="dxa"/>
            <w:vAlign w:val="center"/>
          </w:tcPr>
          <w:p>
            <w:pPr>
              <w:widowControl/>
              <w:jc w:val="right"/>
              <w:rPr>
                <w:rFonts w:ascii="宋体" w:cs="Times New Roman"/>
                <w:kern w:val="0"/>
                <w:sz w:val="18"/>
                <w:szCs w:val="18"/>
              </w:rPr>
            </w:pPr>
            <w:r>
              <w:rPr>
                <w:rFonts w:ascii="宋体" w:hAnsi="宋体" w:cs="宋体"/>
                <w:kern w:val="0"/>
                <w:sz w:val="18"/>
                <w:szCs w:val="18"/>
              </w:rPr>
              <w:t>400,000</w:t>
            </w:r>
          </w:p>
        </w:tc>
        <w:tc>
          <w:tcPr>
            <w:tcW w:w="1213" w:type="dxa"/>
            <w:vAlign w:val="center"/>
          </w:tcPr>
          <w:p>
            <w:pPr>
              <w:widowControl/>
              <w:jc w:val="right"/>
              <w:rPr>
                <w:rFonts w:ascii="宋体" w:cs="Times New Roman"/>
                <w:kern w:val="0"/>
                <w:sz w:val="18"/>
                <w:szCs w:val="18"/>
              </w:rPr>
            </w:pPr>
            <w:r>
              <w:rPr>
                <w:rFonts w:ascii="宋体" w:hAnsi="宋体" w:cs="宋体"/>
                <w:kern w:val="0"/>
                <w:sz w:val="18"/>
                <w:szCs w:val="18"/>
              </w:rPr>
              <w:t>1,400,000</w:t>
            </w:r>
          </w:p>
        </w:tc>
        <w:tc>
          <w:tcPr>
            <w:tcW w:w="2557" w:type="dxa"/>
            <w:vAlign w:val="center"/>
          </w:tcPr>
          <w:p>
            <w:pPr>
              <w:widowControl/>
              <w:jc w:val="left"/>
              <w:rPr>
                <w:rFonts w:ascii="宋体" w:cs="Times New Roman"/>
                <w:kern w:val="0"/>
                <w:sz w:val="18"/>
                <w:szCs w:val="18"/>
              </w:rPr>
            </w:pPr>
            <w:r>
              <w:rPr>
                <w:rFonts w:hint="eastAsia" w:ascii="宋体" w:hAnsi="宋体" w:cs="宋体"/>
                <w:kern w:val="0"/>
                <w:sz w:val="18"/>
                <w:szCs w:val="18"/>
              </w:rPr>
              <w:t>福建</w:t>
            </w:r>
            <w:r>
              <w:rPr>
                <w:rFonts w:ascii="宋体" w:hAnsi="宋体" w:cs="宋体"/>
                <w:kern w:val="0"/>
                <w:sz w:val="18"/>
                <w:szCs w:val="18"/>
              </w:rPr>
              <w:t>(</w:t>
            </w:r>
            <w:r>
              <w:rPr>
                <w:rFonts w:hint="eastAsia" w:ascii="宋体" w:hAnsi="宋体" w:cs="宋体"/>
                <w:kern w:val="0"/>
                <w:sz w:val="18"/>
                <w:szCs w:val="18"/>
              </w:rPr>
              <w:t>龙岩</w:t>
            </w:r>
            <w:r>
              <w:rPr>
                <w:rFonts w:ascii="宋体" w:hAnsi="宋体" w:cs="宋体"/>
                <w:kern w:val="0"/>
                <w:sz w:val="18"/>
                <w:szCs w:val="18"/>
              </w:rPr>
              <w:t>)</w:t>
            </w:r>
            <w:r>
              <w:rPr>
                <w:rFonts w:hint="eastAsia" w:ascii="宋体" w:hAnsi="宋体" w:cs="宋体"/>
                <w:kern w:val="0"/>
                <w:sz w:val="18"/>
                <w:szCs w:val="18"/>
              </w:rPr>
              <w:t>稀土工业园区</w:t>
            </w:r>
          </w:p>
        </w:tc>
      </w:tr>
      <w:tr>
        <w:trPr>
          <w:trHeight w:val="591" w:hRule="atLeast"/>
        </w:trPr>
        <w:tc>
          <w:tcPr>
            <w:tcW w:w="714" w:type="dxa"/>
            <w:shd w:val="clear" w:color="auto" w:fill="D9D9D9"/>
            <w:vAlign w:val="center"/>
          </w:tcPr>
          <w:p>
            <w:pPr>
              <w:jc w:val="center"/>
              <w:rPr>
                <w:b/>
                <w:bCs/>
                <w:sz w:val="18"/>
                <w:szCs w:val="18"/>
              </w:rPr>
            </w:pPr>
            <w:r>
              <w:rPr>
                <w:b/>
                <w:bCs/>
                <w:sz w:val="18"/>
                <w:szCs w:val="18"/>
              </w:rPr>
              <w:t>137</w:t>
            </w:r>
          </w:p>
        </w:tc>
        <w:tc>
          <w:tcPr>
            <w:tcW w:w="2577" w:type="dxa"/>
            <w:vAlign w:val="center"/>
          </w:tcPr>
          <w:p>
            <w:pPr>
              <w:widowControl/>
              <w:jc w:val="left"/>
              <w:rPr>
                <w:rFonts w:ascii="宋体" w:cs="Times New Roman"/>
                <w:kern w:val="0"/>
                <w:sz w:val="18"/>
                <w:szCs w:val="18"/>
              </w:rPr>
            </w:pPr>
            <w:r>
              <w:rPr>
                <w:rFonts w:hint="eastAsia" w:ascii="宋体" w:hAnsi="宋体" w:cs="宋体"/>
                <w:kern w:val="0"/>
                <w:sz w:val="18"/>
                <w:szCs w:val="18"/>
              </w:rPr>
              <w:t>催化剂高岭土载体</w:t>
            </w:r>
          </w:p>
        </w:tc>
        <w:tc>
          <w:tcPr>
            <w:tcW w:w="1718" w:type="dxa"/>
            <w:vAlign w:val="center"/>
          </w:tcPr>
          <w:p>
            <w:pPr>
              <w:widowControl/>
              <w:jc w:val="left"/>
              <w:rPr>
                <w:rFonts w:ascii="宋体" w:cs="Times New Roman"/>
                <w:kern w:val="0"/>
                <w:sz w:val="18"/>
                <w:szCs w:val="18"/>
              </w:rPr>
            </w:pPr>
            <w:r>
              <w:rPr>
                <w:rFonts w:hint="eastAsia" w:ascii="宋体" w:hAnsi="宋体" w:cs="宋体"/>
                <w:kern w:val="0"/>
                <w:sz w:val="18"/>
                <w:szCs w:val="18"/>
              </w:rPr>
              <w:t>长汀陇和无机盐制造有限责任公司</w:t>
            </w:r>
          </w:p>
        </w:tc>
        <w:tc>
          <w:tcPr>
            <w:tcW w:w="4153" w:type="dxa"/>
            <w:vAlign w:val="center"/>
          </w:tcPr>
          <w:p>
            <w:pPr>
              <w:widowControl/>
              <w:jc w:val="left"/>
              <w:rPr>
                <w:rFonts w:ascii="宋体" w:cs="Times New Roman"/>
                <w:kern w:val="0"/>
                <w:sz w:val="18"/>
                <w:szCs w:val="18"/>
              </w:rPr>
            </w:pPr>
            <w:r>
              <w:rPr>
                <w:rFonts w:hint="eastAsia" w:ascii="宋体" w:hAnsi="宋体" w:cs="宋体"/>
                <w:kern w:val="0"/>
                <w:sz w:val="18"/>
                <w:szCs w:val="18"/>
              </w:rPr>
              <w:t>年产</w:t>
            </w:r>
            <w:r>
              <w:rPr>
                <w:rFonts w:ascii="宋体" w:hAnsi="宋体" w:cs="宋体"/>
                <w:kern w:val="0"/>
                <w:sz w:val="18"/>
                <w:szCs w:val="18"/>
              </w:rPr>
              <w:t>30</w:t>
            </w:r>
            <w:r>
              <w:rPr>
                <w:rFonts w:hint="eastAsia" w:ascii="宋体" w:hAnsi="宋体" w:cs="宋体"/>
                <w:kern w:val="0"/>
                <w:sz w:val="18"/>
                <w:szCs w:val="18"/>
              </w:rPr>
              <w:t>万台（套）</w:t>
            </w:r>
          </w:p>
        </w:tc>
        <w:tc>
          <w:tcPr>
            <w:tcW w:w="1242" w:type="dxa"/>
            <w:vAlign w:val="center"/>
          </w:tcPr>
          <w:p>
            <w:pPr>
              <w:widowControl/>
              <w:jc w:val="right"/>
              <w:rPr>
                <w:rFonts w:ascii="宋体" w:cs="Times New Roman"/>
                <w:kern w:val="0"/>
                <w:sz w:val="18"/>
                <w:szCs w:val="18"/>
              </w:rPr>
            </w:pPr>
            <w:r>
              <w:rPr>
                <w:rFonts w:ascii="宋体" w:hAnsi="宋体" w:cs="宋体"/>
                <w:kern w:val="0"/>
                <w:sz w:val="18"/>
                <w:szCs w:val="18"/>
              </w:rPr>
              <w:t>80,000</w:t>
            </w:r>
          </w:p>
        </w:tc>
        <w:tc>
          <w:tcPr>
            <w:tcW w:w="1213" w:type="dxa"/>
            <w:vAlign w:val="center"/>
          </w:tcPr>
          <w:p>
            <w:pPr>
              <w:widowControl/>
              <w:jc w:val="right"/>
              <w:rPr>
                <w:rFonts w:ascii="宋体" w:cs="Times New Roman"/>
                <w:kern w:val="0"/>
                <w:sz w:val="18"/>
                <w:szCs w:val="18"/>
              </w:rPr>
            </w:pPr>
            <w:r>
              <w:rPr>
                <w:rFonts w:ascii="宋体" w:hAnsi="宋体" w:cs="宋体"/>
                <w:kern w:val="0"/>
                <w:sz w:val="18"/>
                <w:szCs w:val="18"/>
              </w:rPr>
              <w:t>200,000</w:t>
            </w:r>
          </w:p>
        </w:tc>
        <w:tc>
          <w:tcPr>
            <w:tcW w:w="2557" w:type="dxa"/>
            <w:vAlign w:val="center"/>
          </w:tcPr>
          <w:p>
            <w:pPr>
              <w:widowControl/>
              <w:jc w:val="left"/>
              <w:rPr>
                <w:rFonts w:ascii="宋体" w:cs="Times New Roman"/>
                <w:kern w:val="0"/>
                <w:sz w:val="18"/>
                <w:szCs w:val="18"/>
              </w:rPr>
            </w:pPr>
            <w:r>
              <w:rPr>
                <w:rFonts w:hint="eastAsia" w:ascii="宋体" w:hAnsi="宋体" w:cs="宋体"/>
                <w:kern w:val="0"/>
                <w:sz w:val="18"/>
                <w:szCs w:val="18"/>
              </w:rPr>
              <w:t>福建</w:t>
            </w:r>
            <w:r>
              <w:rPr>
                <w:rFonts w:ascii="宋体" w:hAnsi="宋体" w:cs="宋体"/>
                <w:kern w:val="0"/>
                <w:sz w:val="18"/>
                <w:szCs w:val="18"/>
              </w:rPr>
              <w:t>(</w:t>
            </w:r>
            <w:r>
              <w:rPr>
                <w:rFonts w:hint="eastAsia" w:ascii="宋体" w:hAnsi="宋体" w:cs="宋体"/>
                <w:kern w:val="0"/>
                <w:sz w:val="18"/>
                <w:szCs w:val="18"/>
              </w:rPr>
              <w:t>龙岩</w:t>
            </w:r>
            <w:r>
              <w:rPr>
                <w:rFonts w:ascii="宋体" w:hAnsi="宋体" w:cs="宋体"/>
                <w:kern w:val="0"/>
                <w:sz w:val="18"/>
                <w:szCs w:val="18"/>
              </w:rPr>
              <w:t>)</w:t>
            </w:r>
            <w:r>
              <w:rPr>
                <w:rFonts w:hint="eastAsia" w:ascii="宋体" w:hAnsi="宋体" w:cs="宋体"/>
                <w:kern w:val="0"/>
                <w:sz w:val="18"/>
                <w:szCs w:val="18"/>
              </w:rPr>
              <w:t>稀土工业园区</w:t>
            </w:r>
          </w:p>
        </w:tc>
      </w:tr>
      <w:tr>
        <w:trPr>
          <w:trHeight w:val="437" w:hRule="atLeast"/>
        </w:trPr>
        <w:tc>
          <w:tcPr>
            <w:tcW w:w="714" w:type="dxa"/>
            <w:shd w:val="clear" w:color="auto" w:fill="D9D9D9"/>
            <w:vAlign w:val="center"/>
          </w:tcPr>
          <w:p>
            <w:pPr>
              <w:jc w:val="center"/>
              <w:rPr>
                <w:b/>
                <w:bCs/>
                <w:sz w:val="18"/>
                <w:szCs w:val="18"/>
              </w:rPr>
            </w:pPr>
            <w:r>
              <w:rPr>
                <w:b/>
                <w:bCs/>
                <w:sz w:val="18"/>
                <w:szCs w:val="18"/>
              </w:rPr>
              <w:t>140</w:t>
            </w:r>
          </w:p>
        </w:tc>
        <w:tc>
          <w:tcPr>
            <w:tcW w:w="2577" w:type="dxa"/>
            <w:vAlign w:val="center"/>
          </w:tcPr>
          <w:p>
            <w:pPr>
              <w:widowControl/>
              <w:jc w:val="left"/>
              <w:rPr>
                <w:rFonts w:ascii="宋体" w:cs="Times New Roman"/>
                <w:kern w:val="0"/>
                <w:sz w:val="18"/>
                <w:szCs w:val="18"/>
              </w:rPr>
            </w:pPr>
            <w:r>
              <w:rPr>
                <w:rFonts w:hint="eastAsia" w:ascii="宋体" w:hAnsi="宋体" w:cs="宋体"/>
                <w:kern w:val="0"/>
                <w:sz w:val="18"/>
                <w:szCs w:val="18"/>
              </w:rPr>
              <w:t>稀土金属合金项目</w:t>
            </w:r>
          </w:p>
        </w:tc>
        <w:tc>
          <w:tcPr>
            <w:tcW w:w="1718" w:type="dxa"/>
            <w:vAlign w:val="center"/>
          </w:tcPr>
          <w:p>
            <w:pPr>
              <w:widowControl/>
              <w:jc w:val="left"/>
              <w:rPr>
                <w:rFonts w:ascii="宋体" w:cs="Times New Roman"/>
                <w:kern w:val="0"/>
                <w:sz w:val="18"/>
                <w:szCs w:val="18"/>
              </w:rPr>
            </w:pPr>
            <w:r>
              <w:rPr>
                <w:rFonts w:hint="eastAsia" w:ascii="宋体" w:hAnsi="宋体" w:cs="宋体"/>
                <w:kern w:val="0"/>
                <w:sz w:val="18"/>
                <w:szCs w:val="18"/>
              </w:rPr>
              <w:t>招商引资</w:t>
            </w:r>
          </w:p>
        </w:tc>
        <w:tc>
          <w:tcPr>
            <w:tcW w:w="4153" w:type="dxa"/>
            <w:vAlign w:val="center"/>
          </w:tcPr>
          <w:p>
            <w:pPr>
              <w:widowControl/>
              <w:jc w:val="left"/>
              <w:rPr>
                <w:rFonts w:ascii="宋体" w:cs="Times New Roman"/>
                <w:kern w:val="0"/>
                <w:sz w:val="18"/>
                <w:szCs w:val="18"/>
              </w:rPr>
            </w:pPr>
            <w:r>
              <w:rPr>
                <w:rFonts w:hint="eastAsia" w:ascii="宋体" w:hAnsi="宋体" w:cs="宋体"/>
                <w:kern w:val="0"/>
                <w:sz w:val="18"/>
                <w:szCs w:val="18"/>
              </w:rPr>
              <w:t>年产</w:t>
            </w:r>
            <w:r>
              <w:rPr>
                <w:rFonts w:ascii="宋体" w:hAnsi="宋体" w:cs="宋体"/>
                <w:kern w:val="0"/>
                <w:sz w:val="18"/>
                <w:szCs w:val="18"/>
              </w:rPr>
              <w:t>5000</w:t>
            </w:r>
            <w:r>
              <w:rPr>
                <w:rFonts w:hint="eastAsia" w:ascii="宋体" w:hAnsi="宋体" w:cs="宋体"/>
                <w:kern w:val="0"/>
                <w:sz w:val="18"/>
                <w:szCs w:val="18"/>
              </w:rPr>
              <w:t>吨稀土铜、稀土钨合金、稀土铝合金等</w:t>
            </w:r>
          </w:p>
        </w:tc>
        <w:tc>
          <w:tcPr>
            <w:tcW w:w="1242" w:type="dxa"/>
            <w:vAlign w:val="center"/>
          </w:tcPr>
          <w:p>
            <w:pPr>
              <w:widowControl/>
              <w:jc w:val="right"/>
              <w:rPr>
                <w:rFonts w:ascii="宋体" w:cs="Times New Roman"/>
                <w:kern w:val="0"/>
                <w:sz w:val="18"/>
                <w:szCs w:val="18"/>
              </w:rPr>
            </w:pPr>
            <w:r>
              <w:rPr>
                <w:rFonts w:ascii="宋体" w:hAnsi="宋体" w:cs="宋体"/>
                <w:kern w:val="0"/>
                <w:sz w:val="18"/>
                <w:szCs w:val="18"/>
              </w:rPr>
              <w:t>20,000</w:t>
            </w:r>
          </w:p>
        </w:tc>
        <w:tc>
          <w:tcPr>
            <w:tcW w:w="1213" w:type="dxa"/>
            <w:vAlign w:val="center"/>
          </w:tcPr>
          <w:p>
            <w:pPr>
              <w:widowControl/>
              <w:jc w:val="right"/>
              <w:rPr>
                <w:rFonts w:ascii="宋体" w:cs="Times New Roman"/>
                <w:kern w:val="0"/>
                <w:sz w:val="18"/>
                <w:szCs w:val="18"/>
              </w:rPr>
            </w:pPr>
            <w:r>
              <w:rPr>
                <w:rFonts w:ascii="宋体" w:hAnsi="宋体" w:cs="宋体"/>
                <w:kern w:val="0"/>
                <w:sz w:val="18"/>
                <w:szCs w:val="18"/>
              </w:rPr>
              <w:t>60,000</w:t>
            </w:r>
          </w:p>
        </w:tc>
        <w:tc>
          <w:tcPr>
            <w:tcW w:w="2557" w:type="dxa"/>
            <w:vAlign w:val="center"/>
          </w:tcPr>
          <w:p>
            <w:pPr>
              <w:widowControl/>
              <w:jc w:val="left"/>
              <w:rPr>
                <w:rFonts w:ascii="宋体" w:cs="Times New Roman"/>
                <w:kern w:val="0"/>
                <w:sz w:val="18"/>
                <w:szCs w:val="18"/>
              </w:rPr>
            </w:pPr>
            <w:r>
              <w:rPr>
                <w:rFonts w:hint="eastAsia" w:ascii="宋体" w:hAnsi="宋体" w:cs="宋体"/>
                <w:kern w:val="0"/>
                <w:sz w:val="18"/>
                <w:szCs w:val="18"/>
              </w:rPr>
              <w:t>福建</w:t>
            </w:r>
            <w:r>
              <w:rPr>
                <w:rFonts w:ascii="宋体" w:hAnsi="宋体" w:cs="宋体"/>
                <w:kern w:val="0"/>
                <w:sz w:val="18"/>
                <w:szCs w:val="18"/>
              </w:rPr>
              <w:t>(</w:t>
            </w:r>
            <w:r>
              <w:rPr>
                <w:rFonts w:hint="eastAsia" w:ascii="宋体" w:hAnsi="宋体" w:cs="宋体"/>
                <w:kern w:val="0"/>
                <w:sz w:val="18"/>
                <w:szCs w:val="18"/>
              </w:rPr>
              <w:t>龙岩</w:t>
            </w:r>
            <w:r>
              <w:rPr>
                <w:rFonts w:ascii="宋体" w:hAnsi="宋体" w:cs="宋体"/>
                <w:kern w:val="0"/>
                <w:sz w:val="18"/>
                <w:szCs w:val="18"/>
              </w:rPr>
              <w:t>)</w:t>
            </w:r>
            <w:r>
              <w:rPr>
                <w:rFonts w:hint="eastAsia" w:ascii="宋体" w:hAnsi="宋体" w:cs="宋体"/>
                <w:kern w:val="0"/>
                <w:sz w:val="18"/>
                <w:szCs w:val="18"/>
              </w:rPr>
              <w:t>稀土工业园区</w:t>
            </w:r>
          </w:p>
        </w:tc>
      </w:tr>
      <w:tr>
        <w:trPr>
          <w:trHeight w:val="537" w:hRule="atLeast"/>
        </w:trPr>
        <w:tc>
          <w:tcPr>
            <w:tcW w:w="714" w:type="dxa"/>
            <w:shd w:val="clear" w:color="auto" w:fill="D9D9D9"/>
            <w:vAlign w:val="center"/>
          </w:tcPr>
          <w:p>
            <w:pPr>
              <w:jc w:val="center"/>
              <w:rPr>
                <w:b/>
                <w:bCs/>
                <w:sz w:val="18"/>
                <w:szCs w:val="18"/>
              </w:rPr>
            </w:pPr>
            <w:r>
              <w:rPr>
                <w:b/>
                <w:bCs/>
                <w:sz w:val="18"/>
                <w:szCs w:val="18"/>
              </w:rPr>
              <w:t>141</w:t>
            </w:r>
          </w:p>
        </w:tc>
        <w:tc>
          <w:tcPr>
            <w:tcW w:w="2577" w:type="dxa"/>
            <w:vAlign w:val="center"/>
          </w:tcPr>
          <w:p>
            <w:pPr>
              <w:widowControl/>
              <w:jc w:val="left"/>
              <w:rPr>
                <w:rFonts w:ascii="宋体" w:cs="Times New Roman"/>
                <w:kern w:val="0"/>
                <w:sz w:val="18"/>
                <w:szCs w:val="18"/>
              </w:rPr>
            </w:pPr>
            <w:r>
              <w:rPr>
                <w:rFonts w:hint="eastAsia" w:ascii="宋体" w:hAnsi="宋体" w:cs="宋体"/>
                <w:kern w:val="0"/>
                <w:sz w:val="18"/>
                <w:szCs w:val="18"/>
              </w:rPr>
              <w:t>激光闪烁晶体</w:t>
            </w:r>
          </w:p>
        </w:tc>
        <w:tc>
          <w:tcPr>
            <w:tcW w:w="1718" w:type="dxa"/>
            <w:vAlign w:val="center"/>
          </w:tcPr>
          <w:p>
            <w:pPr>
              <w:widowControl/>
              <w:jc w:val="left"/>
              <w:rPr>
                <w:rFonts w:ascii="宋体" w:cs="Times New Roman"/>
                <w:kern w:val="0"/>
                <w:sz w:val="18"/>
                <w:szCs w:val="18"/>
              </w:rPr>
            </w:pPr>
            <w:r>
              <w:rPr>
                <w:rFonts w:hint="eastAsia" w:ascii="宋体" w:hAnsi="宋体" w:cs="宋体"/>
                <w:kern w:val="0"/>
                <w:sz w:val="18"/>
                <w:szCs w:val="18"/>
              </w:rPr>
              <w:t>长汀雷生科技有限责任公司</w:t>
            </w:r>
          </w:p>
        </w:tc>
        <w:tc>
          <w:tcPr>
            <w:tcW w:w="4153" w:type="dxa"/>
            <w:vAlign w:val="center"/>
          </w:tcPr>
          <w:p>
            <w:pPr>
              <w:widowControl/>
              <w:jc w:val="left"/>
              <w:rPr>
                <w:rFonts w:ascii="宋体" w:cs="Times New Roman"/>
                <w:kern w:val="0"/>
                <w:sz w:val="18"/>
                <w:szCs w:val="18"/>
              </w:rPr>
            </w:pPr>
            <w:r>
              <w:rPr>
                <w:rFonts w:hint="eastAsia" w:ascii="宋体" w:hAnsi="宋体" w:cs="宋体"/>
                <w:kern w:val="0"/>
                <w:sz w:val="18"/>
                <w:szCs w:val="18"/>
              </w:rPr>
              <w:t>年产</w:t>
            </w:r>
            <w:r>
              <w:rPr>
                <w:rFonts w:ascii="宋体" w:hAnsi="宋体" w:cs="宋体"/>
                <w:kern w:val="0"/>
                <w:sz w:val="18"/>
                <w:szCs w:val="18"/>
              </w:rPr>
              <w:t>10</w:t>
            </w:r>
            <w:r>
              <w:rPr>
                <w:rFonts w:hint="eastAsia" w:ascii="宋体" w:hAnsi="宋体" w:cs="宋体"/>
                <w:kern w:val="0"/>
                <w:sz w:val="18"/>
                <w:szCs w:val="18"/>
              </w:rPr>
              <w:t>吨</w:t>
            </w:r>
            <w:r>
              <w:rPr>
                <w:rFonts w:ascii="宋体" w:hAnsi="宋体" w:cs="宋体"/>
                <w:kern w:val="0"/>
                <w:sz w:val="18"/>
                <w:szCs w:val="18"/>
              </w:rPr>
              <w:t>PET-CT</w:t>
            </w:r>
            <w:r>
              <w:rPr>
                <w:rFonts w:hint="eastAsia" w:ascii="宋体" w:hAnsi="宋体" w:cs="宋体"/>
                <w:kern w:val="0"/>
                <w:sz w:val="18"/>
                <w:szCs w:val="18"/>
              </w:rPr>
              <w:t>等用硅酸钇镥</w:t>
            </w:r>
            <w:r>
              <w:rPr>
                <w:rFonts w:ascii="宋体" w:hAnsi="宋体" w:cs="宋体"/>
                <w:kern w:val="0"/>
                <w:sz w:val="18"/>
                <w:szCs w:val="18"/>
              </w:rPr>
              <w:t>(LYSO)</w:t>
            </w:r>
            <w:r>
              <w:rPr>
                <w:rFonts w:hint="eastAsia" w:ascii="宋体" w:hAnsi="宋体" w:cs="宋体"/>
                <w:kern w:val="0"/>
                <w:sz w:val="18"/>
                <w:szCs w:val="18"/>
              </w:rPr>
              <w:t>闪烁晶体</w:t>
            </w:r>
          </w:p>
        </w:tc>
        <w:tc>
          <w:tcPr>
            <w:tcW w:w="1242" w:type="dxa"/>
            <w:vAlign w:val="center"/>
          </w:tcPr>
          <w:p>
            <w:pPr>
              <w:widowControl/>
              <w:jc w:val="right"/>
              <w:rPr>
                <w:rFonts w:ascii="宋体" w:cs="Times New Roman"/>
                <w:kern w:val="0"/>
                <w:sz w:val="18"/>
                <w:szCs w:val="18"/>
              </w:rPr>
            </w:pPr>
            <w:r>
              <w:rPr>
                <w:rFonts w:ascii="宋体" w:hAnsi="宋体" w:cs="宋体"/>
                <w:kern w:val="0"/>
                <w:sz w:val="18"/>
                <w:szCs w:val="18"/>
              </w:rPr>
              <w:t>20,000</w:t>
            </w:r>
          </w:p>
        </w:tc>
        <w:tc>
          <w:tcPr>
            <w:tcW w:w="1213" w:type="dxa"/>
            <w:vAlign w:val="center"/>
          </w:tcPr>
          <w:p>
            <w:pPr>
              <w:widowControl/>
              <w:jc w:val="right"/>
              <w:rPr>
                <w:rFonts w:ascii="宋体" w:cs="Times New Roman"/>
                <w:kern w:val="0"/>
                <w:sz w:val="18"/>
                <w:szCs w:val="18"/>
              </w:rPr>
            </w:pPr>
            <w:r>
              <w:rPr>
                <w:rFonts w:ascii="宋体" w:hAnsi="宋体" w:cs="宋体"/>
                <w:kern w:val="0"/>
                <w:sz w:val="18"/>
                <w:szCs w:val="18"/>
              </w:rPr>
              <w:t>100,000</w:t>
            </w:r>
          </w:p>
        </w:tc>
        <w:tc>
          <w:tcPr>
            <w:tcW w:w="2557" w:type="dxa"/>
            <w:vAlign w:val="center"/>
          </w:tcPr>
          <w:p>
            <w:pPr>
              <w:widowControl/>
              <w:jc w:val="left"/>
              <w:rPr>
                <w:rFonts w:ascii="宋体" w:cs="Times New Roman"/>
                <w:kern w:val="0"/>
                <w:sz w:val="18"/>
                <w:szCs w:val="18"/>
              </w:rPr>
            </w:pPr>
            <w:r>
              <w:rPr>
                <w:rFonts w:hint="eastAsia" w:ascii="宋体" w:hAnsi="宋体" w:cs="宋体"/>
                <w:kern w:val="0"/>
                <w:sz w:val="18"/>
                <w:szCs w:val="18"/>
              </w:rPr>
              <w:t>福建</w:t>
            </w:r>
            <w:r>
              <w:rPr>
                <w:rFonts w:ascii="宋体" w:hAnsi="宋体" w:cs="宋体"/>
                <w:kern w:val="0"/>
                <w:sz w:val="18"/>
                <w:szCs w:val="18"/>
              </w:rPr>
              <w:t>(</w:t>
            </w:r>
            <w:r>
              <w:rPr>
                <w:rFonts w:hint="eastAsia" w:ascii="宋体" w:hAnsi="宋体" w:cs="宋体"/>
                <w:kern w:val="0"/>
                <w:sz w:val="18"/>
                <w:szCs w:val="18"/>
              </w:rPr>
              <w:t>龙岩</w:t>
            </w:r>
            <w:r>
              <w:rPr>
                <w:rFonts w:ascii="宋体" w:hAnsi="宋体" w:cs="宋体"/>
                <w:kern w:val="0"/>
                <w:sz w:val="18"/>
                <w:szCs w:val="18"/>
              </w:rPr>
              <w:t>)</w:t>
            </w:r>
            <w:r>
              <w:rPr>
                <w:rFonts w:hint="eastAsia" w:ascii="宋体" w:hAnsi="宋体" w:cs="宋体"/>
                <w:kern w:val="0"/>
                <w:sz w:val="18"/>
                <w:szCs w:val="18"/>
              </w:rPr>
              <w:t>稀土工业园区</w:t>
            </w:r>
          </w:p>
        </w:tc>
      </w:tr>
      <w:tr>
        <w:trPr>
          <w:trHeight w:val="537" w:hRule="atLeast"/>
        </w:trPr>
        <w:tc>
          <w:tcPr>
            <w:tcW w:w="714" w:type="dxa"/>
            <w:shd w:val="clear" w:color="auto" w:fill="D9D9D9"/>
            <w:vAlign w:val="center"/>
          </w:tcPr>
          <w:p>
            <w:pPr>
              <w:jc w:val="center"/>
              <w:rPr>
                <w:b/>
                <w:bCs/>
                <w:sz w:val="18"/>
                <w:szCs w:val="18"/>
              </w:rPr>
            </w:pPr>
            <w:r>
              <w:rPr>
                <w:b/>
                <w:bCs/>
                <w:sz w:val="18"/>
                <w:szCs w:val="18"/>
              </w:rPr>
              <w:t>142</w:t>
            </w:r>
          </w:p>
        </w:tc>
        <w:tc>
          <w:tcPr>
            <w:tcW w:w="2577" w:type="dxa"/>
            <w:vAlign w:val="center"/>
          </w:tcPr>
          <w:p>
            <w:pPr>
              <w:widowControl/>
              <w:jc w:val="left"/>
              <w:rPr>
                <w:rFonts w:ascii="宋体" w:cs="Times New Roman"/>
                <w:kern w:val="0"/>
                <w:sz w:val="18"/>
                <w:szCs w:val="18"/>
              </w:rPr>
            </w:pPr>
            <w:r>
              <w:rPr>
                <w:rFonts w:ascii="宋体" w:hAnsi="宋体" w:cs="宋体"/>
                <w:kern w:val="0"/>
                <w:sz w:val="18"/>
                <w:szCs w:val="18"/>
              </w:rPr>
              <w:t>PET/CT</w:t>
            </w:r>
            <w:r>
              <w:rPr>
                <w:rFonts w:hint="eastAsia" w:ascii="宋体" w:hAnsi="宋体" w:cs="宋体"/>
                <w:kern w:val="0"/>
                <w:sz w:val="18"/>
                <w:szCs w:val="18"/>
              </w:rPr>
              <w:t>项目</w:t>
            </w:r>
          </w:p>
        </w:tc>
        <w:tc>
          <w:tcPr>
            <w:tcW w:w="1718" w:type="dxa"/>
            <w:vAlign w:val="center"/>
          </w:tcPr>
          <w:p>
            <w:pPr>
              <w:widowControl/>
              <w:jc w:val="left"/>
              <w:rPr>
                <w:rFonts w:ascii="宋体" w:cs="Times New Roman"/>
                <w:kern w:val="0"/>
                <w:sz w:val="18"/>
                <w:szCs w:val="18"/>
              </w:rPr>
            </w:pPr>
            <w:r>
              <w:rPr>
                <w:rFonts w:hint="eastAsia" w:ascii="宋体" w:hAnsi="宋体" w:cs="宋体"/>
                <w:kern w:val="0"/>
                <w:sz w:val="18"/>
                <w:szCs w:val="18"/>
              </w:rPr>
              <w:t>招商引资</w:t>
            </w:r>
          </w:p>
        </w:tc>
        <w:tc>
          <w:tcPr>
            <w:tcW w:w="4153" w:type="dxa"/>
            <w:vAlign w:val="center"/>
          </w:tcPr>
          <w:p>
            <w:pPr>
              <w:widowControl/>
              <w:jc w:val="left"/>
              <w:rPr>
                <w:rFonts w:ascii="宋体" w:cs="Times New Roman"/>
                <w:kern w:val="0"/>
                <w:sz w:val="18"/>
                <w:szCs w:val="18"/>
              </w:rPr>
            </w:pPr>
            <w:r>
              <w:rPr>
                <w:rFonts w:hint="eastAsia" w:ascii="宋体" w:hAnsi="宋体" w:cs="宋体"/>
                <w:kern w:val="0"/>
                <w:sz w:val="18"/>
                <w:szCs w:val="18"/>
              </w:rPr>
              <w:t>年产</w:t>
            </w:r>
            <w:r>
              <w:rPr>
                <w:rFonts w:ascii="宋体" w:hAnsi="宋体" w:cs="宋体"/>
                <w:kern w:val="0"/>
                <w:sz w:val="18"/>
                <w:szCs w:val="18"/>
              </w:rPr>
              <w:t>10</w:t>
            </w:r>
            <w:r>
              <w:rPr>
                <w:rFonts w:hint="eastAsia" w:ascii="宋体" w:hAnsi="宋体" w:cs="宋体"/>
                <w:kern w:val="0"/>
                <w:sz w:val="18"/>
                <w:szCs w:val="18"/>
              </w:rPr>
              <w:t>台医用</w:t>
            </w:r>
            <w:r>
              <w:rPr>
                <w:rFonts w:ascii="宋体" w:hAnsi="宋体" w:cs="宋体"/>
                <w:kern w:val="0"/>
                <w:sz w:val="18"/>
                <w:szCs w:val="18"/>
              </w:rPr>
              <w:t>PET/CT</w:t>
            </w:r>
            <w:r>
              <w:rPr>
                <w:rFonts w:hint="eastAsia" w:ascii="宋体" w:hAnsi="宋体" w:cs="宋体"/>
                <w:kern w:val="0"/>
                <w:sz w:val="18"/>
                <w:szCs w:val="18"/>
              </w:rPr>
              <w:t>，</w:t>
            </w:r>
            <w:r>
              <w:rPr>
                <w:rFonts w:ascii="宋体" w:hAnsi="宋体" w:cs="宋体"/>
                <w:kern w:val="0"/>
                <w:sz w:val="18"/>
                <w:szCs w:val="18"/>
              </w:rPr>
              <w:t>10</w:t>
            </w:r>
            <w:r>
              <w:rPr>
                <w:rFonts w:hint="eastAsia" w:ascii="宋体" w:hAnsi="宋体" w:cs="宋体"/>
                <w:kern w:val="0"/>
                <w:sz w:val="18"/>
                <w:szCs w:val="18"/>
              </w:rPr>
              <w:t>台动物实验用</w:t>
            </w:r>
            <w:r>
              <w:rPr>
                <w:rFonts w:ascii="宋体" w:hAnsi="宋体" w:cs="宋体"/>
                <w:kern w:val="0"/>
                <w:sz w:val="18"/>
                <w:szCs w:val="18"/>
              </w:rPr>
              <w:t>PET/CT</w:t>
            </w:r>
          </w:p>
        </w:tc>
        <w:tc>
          <w:tcPr>
            <w:tcW w:w="1242" w:type="dxa"/>
            <w:vAlign w:val="center"/>
          </w:tcPr>
          <w:p>
            <w:pPr>
              <w:widowControl/>
              <w:jc w:val="right"/>
              <w:rPr>
                <w:rFonts w:ascii="宋体" w:cs="宋体"/>
                <w:kern w:val="0"/>
                <w:sz w:val="18"/>
                <w:szCs w:val="18"/>
              </w:rPr>
            </w:pPr>
            <w:r>
              <w:rPr>
                <w:rFonts w:ascii="宋体" w:hAnsi="宋体" w:cs="宋体"/>
                <w:kern w:val="0"/>
                <w:sz w:val="18"/>
                <w:szCs w:val="18"/>
              </w:rPr>
              <w:t>5</w:t>
            </w:r>
            <w:r>
              <w:rPr>
                <w:rFonts w:ascii="宋体" w:cs="宋体"/>
                <w:kern w:val="0"/>
                <w:sz w:val="18"/>
                <w:szCs w:val="18"/>
              </w:rPr>
              <w:t>,000</w:t>
            </w:r>
          </w:p>
        </w:tc>
        <w:tc>
          <w:tcPr>
            <w:tcW w:w="1213" w:type="dxa"/>
            <w:vAlign w:val="center"/>
          </w:tcPr>
          <w:p>
            <w:pPr>
              <w:widowControl/>
              <w:jc w:val="right"/>
              <w:rPr>
                <w:rFonts w:ascii="宋体" w:cs="Times New Roman"/>
                <w:kern w:val="0"/>
                <w:sz w:val="18"/>
                <w:szCs w:val="18"/>
              </w:rPr>
            </w:pPr>
            <w:r>
              <w:rPr>
                <w:rFonts w:ascii="宋体" w:hAnsi="宋体" w:cs="宋体"/>
                <w:kern w:val="0"/>
                <w:sz w:val="18"/>
                <w:szCs w:val="18"/>
              </w:rPr>
              <w:t>18,000</w:t>
            </w:r>
          </w:p>
        </w:tc>
        <w:tc>
          <w:tcPr>
            <w:tcW w:w="2557" w:type="dxa"/>
            <w:vAlign w:val="center"/>
          </w:tcPr>
          <w:p>
            <w:pPr>
              <w:widowControl/>
              <w:jc w:val="left"/>
              <w:rPr>
                <w:rFonts w:ascii="宋体" w:cs="Times New Roman"/>
                <w:kern w:val="0"/>
                <w:sz w:val="18"/>
                <w:szCs w:val="18"/>
              </w:rPr>
            </w:pPr>
            <w:r>
              <w:rPr>
                <w:rFonts w:hint="eastAsia" w:ascii="宋体" w:hAnsi="宋体" w:cs="宋体"/>
                <w:kern w:val="0"/>
                <w:sz w:val="18"/>
                <w:szCs w:val="18"/>
              </w:rPr>
              <w:t>福建</w:t>
            </w:r>
            <w:r>
              <w:rPr>
                <w:rFonts w:ascii="宋体" w:hAnsi="宋体" w:cs="宋体"/>
                <w:kern w:val="0"/>
                <w:sz w:val="18"/>
                <w:szCs w:val="18"/>
              </w:rPr>
              <w:t>(</w:t>
            </w:r>
            <w:r>
              <w:rPr>
                <w:rFonts w:hint="eastAsia" w:ascii="宋体" w:hAnsi="宋体" w:cs="宋体"/>
                <w:kern w:val="0"/>
                <w:sz w:val="18"/>
                <w:szCs w:val="18"/>
              </w:rPr>
              <w:t>龙岩</w:t>
            </w:r>
            <w:r>
              <w:rPr>
                <w:rFonts w:ascii="宋体" w:hAnsi="宋体" w:cs="宋体"/>
                <w:kern w:val="0"/>
                <w:sz w:val="18"/>
                <w:szCs w:val="18"/>
              </w:rPr>
              <w:t>)</w:t>
            </w:r>
            <w:r>
              <w:rPr>
                <w:rFonts w:hint="eastAsia" w:ascii="宋体" w:hAnsi="宋体" w:cs="宋体"/>
                <w:kern w:val="0"/>
                <w:sz w:val="18"/>
                <w:szCs w:val="18"/>
              </w:rPr>
              <w:t>稀土工业园区</w:t>
            </w:r>
          </w:p>
        </w:tc>
      </w:tr>
      <w:tr>
        <w:trPr>
          <w:trHeight w:val="343" w:hRule="atLeast"/>
        </w:trPr>
        <w:tc>
          <w:tcPr>
            <w:tcW w:w="714" w:type="dxa"/>
            <w:shd w:val="clear" w:color="auto" w:fill="D9D9D9"/>
            <w:vAlign w:val="center"/>
          </w:tcPr>
          <w:p>
            <w:pPr>
              <w:jc w:val="center"/>
              <w:rPr>
                <w:b/>
                <w:bCs/>
                <w:sz w:val="18"/>
                <w:szCs w:val="18"/>
              </w:rPr>
            </w:pPr>
            <w:r>
              <w:rPr>
                <w:b/>
                <w:bCs/>
                <w:sz w:val="18"/>
                <w:szCs w:val="18"/>
              </w:rPr>
              <w:t>143</w:t>
            </w:r>
          </w:p>
        </w:tc>
        <w:tc>
          <w:tcPr>
            <w:tcW w:w="2577" w:type="dxa"/>
            <w:vAlign w:val="center"/>
          </w:tcPr>
          <w:p>
            <w:pPr>
              <w:widowControl/>
              <w:jc w:val="left"/>
              <w:rPr>
                <w:rFonts w:ascii="宋体" w:cs="Times New Roman"/>
                <w:kern w:val="0"/>
                <w:sz w:val="18"/>
                <w:szCs w:val="18"/>
              </w:rPr>
            </w:pPr>
            <w:r>
              <w:rPr>
                <w:rFonts w:hint="eastAsia" w:ascii="宋体" w:hAnsi="宋体" w:cs="宋体"/>
                <w:kern w:val="0"/>
                <w:sz w:val="18"/>
                <w:szCs w:val="18"/>
              </w:rPr>
              <w:t>稀土回收利用项目</w:t>
            </w:r>
          </w:p>
        </w:tc>
        <w:tc>
          <w:tcPr>
            <w:tcW w:w="1718" w:type="dxa"/>
            <w:vAlign w:val="center"/>
          </w:tcPr>
          <w:p>
            <w:pPr>
              <w:widowControl/>
              <w:jc w:val="left"/>
              <w:rPr>
                <w:rFonts w:ascii="宋体" w:cs="Times New Roman"/>
                <w:kern w:val="0"/>
                <w:sz w:val="18"/>
                <w:szCs w:val="18"/>
              </w:rPr>
            </w:pPr>
            <w:r>
              <w:rPr>
                <w:rFonts w:hint="eastAsia" w:ascii="宋体" w:hAnsi="宋体" w:cs="宋体"/>
                <w:kern w:val="0"/>
                <w:sz w:val="18"/>
                <w:szCs w:val="18"/>
              </w:rPr>
              <w:t>招商引资</w:t>
            </w:r>
          </w:p>
        </w:tc>
        <w:tc>
          <w:tcPr>
            <w:tcW w:w="4153" w:type="dxa"/>
            <w:vAlign w:val="center"/>
          </w:tcPr>
          <w:p>
            <w:pPr>
              <w:widowControl/>
              <w:jc w:val="left"/>
              <w:rPr>
                <w:rFonts w:ascii="宋体" w:cs="Times New Roman"/>
                <w:kern w:val="0"/>
                <w:sz w:val="18"/>
                <w:szCs w:val="18"/>
              </w:rPr>
            </w:pPr>
            <w:r>
              <w:rPr>
                <w:rFonts w:hint="eastAsia" w:ascii="宋体" w:hAnsi="宋体" w:cs="宋体"/>
                <w:kern w:val="0"/>
                <w:sz w:val="18"/>
                <w:szCs w:val="18"/>
              </w:rPr>
              <w:t>年产</w:t>
            </w:r>
            <w:r>
              <w:rPr>
                <w:rFonts w:ascii="宋体" w:hAnsi="宋体" w:cs="宋体"/>
                <w:kern w:val="0"/>
                <w:sz w:val="18"/>
                <w:szCs w:val="18"/>
              </w:rPr>
              <w:t>3000</w:t>
            </w:r>
            <w:r>
              <w:rPr>
                <w:rFonts w:hint="eastAsia" w:ascii="宋体" w:hAnsi="宋体" w:cs="宋体"/>
                <w:kern w:val="0"/>
                <w:sz w:val="18"/>
                <w:szCs w:val="18"/>
              </w:rPr>
              <w:t>吨氧化稀土、混合稀土等</w:t>
            </w:r>
          </w:p>
        </w:tc>
        <w:tc>
          <w:tcPr>
            <w:tcW w:w="1242" w:type="dxa"/>
            <w:vAlign w:val="center"/>
          </w:tcPr>
          <w:p>
            <w:pPr>
              <w:widowControl/>
              <w:jc w:val="right"/>
              <w:rPr>
                <w:rFonts w:ascii="宋体" w:cs="Times New Roman"/>
                <w:kern w:val="0"/>
                <w:sz w:val="18"/>
                <w:szCs w:val="18"/>
              </w:rPr>
            </w:pPr>
            <w:r>
              <w:rPr>
                <w:rFonts w:ascii="宋体" w:hAnsi="宋体" w:cs="宋体"/>
                <w:kern w:val="0"/>
                <w:sz w:val="18"/>
                <w:szCs w:val="18"/>
              </w:rPr>
              <w:t>10,000</w:t>
            </w:r>
          </w:p>
        </w:tc>
        <w:tc>
          <w:tcPr>
            <w:tcW w:w="1213" w:type="dxa"/>
            <w:vAlign w:val="center"/>
          </w:tcPr>
          <w:p>
            <w:pPr>
              <w:widowControl/>
              <w:jc w:val="right"/>
              <w:rPr>
                <w:rFonts w:ascii="宋体" w:cs="Times New Roman"/>
                <w:kern w:val="0"/>
                <w:sz w:val="18"/>
                <w:szCs w:val="18"/>
              </w:rPr>
            </w:pPr>
            <w:r>
              <w:rPr>
                <w:rFonts w:ascii="宋体" w:hAnsi="宋体" w:cs="宋体"/>
                <w:kern w:val="0"/>
                <w:sz w:val="18"/>
                <w:szCs w:val="18"/>
              </w:rPr>
              <w:t>50,000</w:t>
            </w:r>
          </w:p>
        </w:tc>
        <w:tc>
          <w:tcPr>
            <w:tcW w:w="2557" w:type="dxa"/>
            <w:vAlign w:val="center"/>
          </w:tcPr>
          <w:p>
            <w:pPr>
              <w:widowControl/>
              <w:jc w:val="left"/>
              <w:rPr>
                <w:rFonts w:ascii="宋体" w:cs="Times New Roman"/>
                <w:kern w:val="0"/>
                <w:sz w:val="18"/>
                <w:szCs w:val="18"/>
              </w:rPr>
            </w:pPr>
            <w:r>
              <w:rPr>
                <w:rFonts w:hint="eastAsia" w:ascii="宋体" w:hAnsi="宋体" w:cs="宋体"/>
                <w:kern w:val="0"/>
                <w:sz w:val="18"/>
                <w:szCs w:val="18"/>
              </w:rPr>
              <w:t>福建</w:t>
            </w:r>
            <w:r>
              <w:rPr>
                <w:rFonts w:ascii="宋体" w:hAnsi="宋体" w:cs="宋体"/>
                <w:kern w:val="0"/>
                <w:sz w:val="18"/>
                <w:szCs w:val="18"/>
              </w:rPr>
              <w:t>(</w:t>
            </w:r>
            <w:r>
              <w:rPr>
                <w:rFonts w:hint="eastAsia" w:ascii="宋体" w:hAnsi="宋体" w:cs="宋体"/>
                <w:kern w:val="0"/>
                <w:sz w:val="18"/>
                <w:szCs w:val="18"/>
              </w:rPr>
              <w:t>龙岩</w:t>
            </w:r>
            <w:r>
              <w:rPr>
                <w:rFonts w:ascii="宋体" w:hAnsi="宋体" w:cs="宋体"/>
                <w:kern w:val="0"/>
                <w:sz w:val="18"/>
                <w:szCs w:val="18"/>
              </w:rPr>
              <w:t>)</w:t>
            </w:r>
            <w:r>
              <w:rPr>
                <w:rFonts w:hint="eastAsia" w:ascii="宋体" w:hAnsi="宋体" w:cs="宋体"/>
                <w:kern w:val="0"/>
                <w:sz w:val="18"/>
                <w:szCs w:val="18"/>
              </w:rPr>
              <w:t>稀土工业园区</w:t>
            </w:r>
          </w:p>
        </w:tc>
      </w:tr>
      <w:tr>
        <w:trPr>
          <w:trHeight w:val="343" w:hRule="atLeast"/>
        </w:trPr>
        <w:tc>
          <w:tcPr>
            <w:tcW w:w="714" w:type="dxa"/>
            <w:shd w:val="clear" w:color="auto" w:fill="D9D9D9"/>
            <w:vAlign w:val="center"/>
          </w:tcPr>
          <w:p>
            <w:pPr>
              <w:jc w:val="center"/>
              <w:rPr>
                <w:b/>
                <w:bCs/>
                <w:sz w:val="18"/>
                <w:szCs w:val="18"/>
              </w:rPr>
            </w:pPr>
            <w:r>
              <w:rPr>
                <w:b/>
                <w:bCs/>
                <w:sz w:val="18"/>
                <w:szCs w:val="18"/>
              </w:rPr>
              <w:t>144</w:t>
            </w:r>
          </w:p>
        </w:tc>
        <w:tc>
          <w:tcPr>
            <w:tcW w:w="2577" w:type="dxa"/>
            <w:vAlign w:val="center"/>
          </w:tcPr>
          <w:p>
            <w:pPr>
              <w:widowControl/>
              <w:jc w:val="left"/>
              <w:rPr>
                <w:rFonts w:ascii="宋体" w:cs="Times New Roman"/>
                <w:kern w:val="0"/>
                <w:sz w:val="18"/>
                <w:szCs w:val="18"/>
              </w:rPr>
            </w:pPr>
            <w:r>
              <w:rPr>
                <w:rFonts w:hint="eastAsia" w:ascii="宋体" w:hAnsi="宋体" w:cs="宋体"/>
                <w:kern w:val="0"/>
                <w:sz w:val="18"/>
                <w:szCs w:val="18"/>
              </w:rPr>
              <w:t>介电陶瓷钛酸钡粉体项目</w:t>
            </w:r>
          </w:p>
        </w:tc>
        <w:tc>
          <w:tcPr>
            <w:tcW w:w="1718" w:type="dxa"/>
            <w:vAlign w:val="center"/>
          </w:tcPr>
          <w:p>
            <w:pPr>
              <w:widowControl/>
              <w:spacing w:line="260" w:lineRule="exact"/>
              <w:jc w:val="left"/>
              <w:rPr>
                <w:rFonts w:ascii="宋体" w:cs="Times New Roman"/>
                <w:kern w:val="0"/>
                <w:sz w:val="18"/>
                <w:szCs w:val="18"/>
              </w:rPr>
            </w:pPr>
            <w:r>
              <w:rPr>
                <w:rFonts w:hint="eastAsia" w:ascii="Times New Roman" w:hAnsi="Times New Roman" w:cs="宋体"/>
                <w:kern w:val="0"/>
                <w:sz w:val="18"/>
                <w:szCs w:val="18"/>
              </w:rPr>
              <w:t>福建贝思科电子材料股份有限公司</w:t>
            </w:r>
          </w:p>
        </w:tc>
        <w:tc>
          <w:tcPr>
            <w:tcW w:w="4153" w:type="dxa"/>
            <w:vAlign w:val="center"/>
          </w:tcPr>
          <w:p>
            <w:pPr>
              <w:widowControl/>
              <w:spacing w:line="260" w:lineRule="exact"/>
              <w:jc w:val="left"/>
              <w:rPr>
                <w:rFonts w:ascii="宋体" w:cs="Times New Roman"/>
                <w:kern w:val="0"/>
                <w:sz w:val="18"/>
                <w:szCs w:val="18"/>
              </w:rPr>
            </w:pPr>
            <w:r>
              <w:rPr>
                <w:rFonts w:hint="eastAsia" w:ascii="宋体" w:hAnsi="宋体" w:cs="宋体"/>
                <w:kern w:val="0"/>
                <w:sz w:val="18"/>
                <w:szCs w:val="18"/>
              </w:rPr>
              <w:t>年产</w:t>
            </w:r>
            <w:r>
              <w:rPr>
                <w:rFonts w:ascii="宋体" w:hAnsi="宋体" w:cs="宋体"/>
                <w:kern w:val="0"/>
                <w:sz w:val="18"/>
                <w:szCs w:val="18"/>
              </w:rPr>
              <w:t>3000</w:t>
            </w:r>
            <w:r>
              <w:rPr>
                <w:rFonts w:hint="eastAsia" w:ascii="宋体" w:hAnsi="宋体" w:cs="宋体"/>
                <w:kern w:val="0"/>
                <w:sz w:val="18"/>
                <w:szCs w:val="18"/>
              </w:rPr>
              <w:t>吨钛酸钡及</w:t>
            </w:r>
            <w:r>
              <w:rPr>
                <w:rFonts w:ascii="宋体" w:hAnsi="宋体" w:cs="宋体"/>
                <w:kern w:val="0"/>
                <w:sz w:val="18"/>
                <w:szCs w:val="18"/>
              </w:rPr>
              <w:t>5000</w:t>
            </w:r>
            <w:r>
              <w:rPr>
                <w:rFonts w:hint="eastAsia" w:ascii="宋体" w:hAnsi="宋体" w:cs="宋体"/>
                <w:kern w:val="0"/>
                <w:sz w:val="18"/>
                <w:szCs w:val="18"/>
              </w:rPr>
              <w:t>吨钛酸钡材料，项目建成达产后，预计可实现营业收入</w:t>
            </w:r>
            <w:r>
              <w:rPr>
                <w:rFonts w:ascii="宋体" w:hAnsi="宋体" w:cs="宋体"/>
                <w:kern w:val="0"/>
                <w:sz w:val="18"/>
                <w:szCs w:val="18"/>
              </w:rPr>
              <w:t>2.9</w:t>
            </w:r>
            <w:r>
              <w:rPr>
                <w:rFonts w:hint="eastAsia" w:ascii="宋体" w:hAnsi="宋体" w:cs="宋体"/>
                <w:kern w:val="0"/>
                <w:sz w:val="18"/>
                <w:szCs w:val="18"/>
              </w:rPr>
              <w:t>亿元以上，年利税</w:t>
            </w:r>
            <w:r>
              <w:rPr>
                <w:rFonts w:ascii="宋体" w:hAnsi="宋体" w:cs="宋体"/>
                <w:kern w:val="0"/>
                <w:sz w:val="18"/>
                <w:szCs w:val="18"/>
              </w:rPr>
              <w:t>5300</w:t>
            </w:r>
            <w:r>
              <w:rPr>
                <w:rFonts w:hint="eastAsia" w:ascii="宋体" w:hAnsi="宋体" w:cs="宋体"/>
                <w:kern w:val="0"/>
                <w:sz w:val="18"/>
                <w:szCs w:val="18"/>
              </w:rPr>
              <w:t>余万元。</w:t>
            </w:r>
          </w:p>
        </w:tc>
        <w:tc>
          <w:tcPr>
            <w:tcW w:w="1242" w:type="dxa"/>
            <w:vAlign w:val="center"/>
          </w:tcPr>
          <w:p>
            <w:pPr>
              <w:widowControl/>
              <w:jc w:val="right"/>
              <w:rPr>
                <w:rFonts w:ascii="宋体" w:cs="Times New Roman"/>
                <w:kern w:val="0"/>
                <w:sz w:val="18"/>
                <w:szCs w:val="18"/>
              </w:rPr>
            </w:pPr>
            <w:r>
              <w:rPr>
                <w:rFonts w:ascii="宋体" w:hAnsi="宋体" w:cs="宋体"/>
                <w:kern w:val="0"/>
                <w:sz w:val="18"/>
                <w:szCs w:val="18"/>
              </w:rPr>
              <w:t>21,500</w:t>
            </w:r>
          </w:p>
        </w:tc>
        <w:tc>
          <w:tcPr>
            <w:tcW w:w="1213" w:type="dxa"/>
            <w:vAlign w:val="center"/>
          </w:tcPr>
          <w:p>
            <w:pPr>
              <w:widowControl/>
              <w:jc w:val="right"/>
              <w:rPr>
                <w:rFonts w:ascii="宋体" w:cs="Times New Roman"/>
                <w:kern w:val="0"/>
                <w:sz w:val="18"/>
                <w:szCs w:val="18"/>
              </w:rPr>
            </w:pPr>
            <w:r>
              <w:rPr>
                <w:rFonts w:ascii="宋体" w:hAnsi="宋体" w:cs="宋体"/>
                <w:kern w:val="0"/>
                <w:sz w:val="18"/>
                <w:szCs w:val="18"/>
              </w:rPr>
              <w:t xml:space="preserve">29,000 </w:t>
            </w:r>
          </w:p>
        </w:tc>
        <w:tc>
          <w:tcPr>
            <w:tcW w:w="2557" w:type="dxa"/>
            <w:vAlign w:val="center"/>
          </w:tcPr>
          <w:p>
            <w:pPr>
              <w:widowControl/>
              <w:jc w:val="left"/>
              <w:rPr>
                <w:rFonts w:ascii="宋体" w:cs="Times New Roman"/>
                <w:kern w:val="0"/>
                <w:sz w:val="18"/>
                <w:szCs w:val="18"/>
              </w:rPr>
            </w:pPr>
            <w:r>
              <w:rPr>
                <w:rFonts w:hint="eastAsia" w:ascii="宋体" w:hAnsi="宋体" w:cs="宋体"/>
                <w:kern w:val="0"/>
                <w:sz w:val="18"/>
                <w:szCs w:val="18"/>
              </w:rPr>
              <w:t>长汀</w:t>
            </w:r>
          </w:p>
        </w:tc>
      </w:tr>
      <w:tr>
        <w:trPr>
          <w:trHeight w:val="343" w:hRule="atLeast"/>
        </w:trPr>
        <w:tc>
          <w:tcPr>
            <w:tcW w:w="714" w:type="dxa"/>
            <w:shd w:val="clear" w:color="auto" w:fill="D9D9D9"/>
            <w:vAlign w:val="center"/>
          </w:tcPr>
          <w:p>
            <w:pPr>
              <w:jc w:val="center"/>
              <w:rPr>
                <w:b/>
                <w:bCs/>
                <w:sz w:val="18"/>
                <w:szCs w:val="18"/>
              </w:rPr>
            </w:pPr>
            <w:r>
              <w:rPr>
                <w:b/>
                <w:bCs/>
                <w:sz w:val="18"/>
                <w:szCs w:val="18"/>
              </w:rPr>
              <w:t>145</w:t>
            </w:r>
          </w:p>
        </w:tc>
        <w:tc>
          <w:tcPr>
            <w:tcW w:w="2577" w:type="dxa"/>
            <w:vAlign w:val="center"/>
          </w:tcPr>
          <w:p>
            <w:pPr>
              <w:widowControl/>
              <w:jc w:val="left"/>
              <w:rPr>
                <w:rFonts w:ascii="宋体" w:cs="Times New Roman"/>
                <w:kern w:val="0"/>
                <w:sz w:val="18"/>
                <w:szCs w:val="18"/>
              </w:rPr>
            </w:pPr>
            <w:r>
              <w:rPr>
                <w:rFonts w:hint="eastAsia" w:ascii="宋体" w:hAnsi="宋体" w:cs="宋体"/>
                <w:kern w:val="0"/>
                <w:sz w:val="18"/>
                <w:szCs w:val="18"/>
              </w:rPr>
              <w:t>电炉煤气回收及冶金尘泥、尾矿渣资源化利用项目</w:t>
            </w:r>
          </w:p>
        </w:tc>
        <w:tc>
          <w:tcPr>
            <w:tcW w:w="1718" w:type="dxa"/>
            <w:vAlign w:val="center"/>
          </w:tcPr>
          <w:p>
            <w:pPr>
              <w:widowControl/>
              <w:jc w:val="left"/>
              <w:rPr>
                <w:rFonts w:ascii="宋体" w:cs="Times New Roman"/>
                <w:kern w:val="0"/>
                <w:sz w:val="18"/>
                <w:szCs w:val="18"/>
              </w:rPr>
            </w:pPr>
            <w:r>
              <w:rPr>
                <w:rFonts w:hint="eastAsia" w:ascii="宋体" w:hAnsi="宋体" w:cs="宋体"/>
                <w:kern w:val="0"/>
                <w:sz w:val="18"/>
                <w:szCs w:val="18"/>
              </w:rPr>
              <w:t>连城县庙前金属炉料厂</w:t>
            </w:r>
          </w:p>
        </w:tc>
        <w:tc>
          <w:tcPr>
            <w:tcW w:w="4153" w:type="dxa"/>
            <w:vAlign w:val="center"/>
          </w:tcPr>
          <w:p>
            <w:pPr>
              <w:widowControl/>
              <w:spacing w:line="260" w:lineRule="exact"/>
              <w:jc w:val="left"/>
              <w:rPr>
                <w:rFonts w:ascii="宋体" w:cs="Times New Roman"/>
                <w:kern w:val="0"/>
                <w:sz w:val="18"/>
                <w:szCs w:val="18"/>
              </w:rPr>
            </w:pPr>
            <w:r>
              <w:rPr>
                <w:rFonts w:hint="eastAsia" w:ascii="宋体" w:hAnsi="宋体" w:cs="宋体"/>
                <w:kern w:val="0"/>
                <w:sz w:val="18"/>
                <w:szCs w:val="18"/>
              </w:rPr>
              <w:t>建设三条生产线：电炉煤气回收及尘灰综合利用生产线；含锌尘泥及次氧化锌回收锌锭生产线；冶炼废渣及尾矿渣生产透水砖生产线。年产：镍铁合金产品</w:t>
            </w:r>
            <w:r>
              <w:rPr>
                <w:rFonts w:ascii="宋体" w:hAnsi="宋体" w:cs="宋体"/>
                <w:kern w:val="0"/>
                <w:sz w:val="18"/>
                <w:szCs w:val="18"/>
              </w:rPr>
              <w:t>10000</w:t>
            </w:r>
            <w:r>
              <w:rPr>
                <w:rFonts w:hint="eastAsia" w:ascii="宋体" w:hAnsi="宋体" w:cs="宋体"/>
                <w:kern w:val="0"/>
                <w:sz w:val="18"/>
                <w:szCs w:val="18"/>
              </w:rPr>
              <w:t>吨、粗锌</w:t>
            </w:r>
            <w:r>
              <w:rPr>
                <w:rFonts w:ascii="宋体" w:hAnsi="宋体" w:cs="宋体"/>
                <w:kern w:val="0"/>
                <w:sz w:val="18"/>
                <w:szCs w:val="18"/>
              </w:rPr>
              <w:t>7000</w:t>
            </w:r>
            <w:r>
              <w:rPr>
                <w:rFonts w:hint="eastAsia" w:ascii="宋体" w:hAnsi="宋体" w:cs="宋体"/>
                <w:kern w:val="0"/>
                <w:sz w:val="18"/>
                <w:szCs w:val="18"/>
              </w:rPr>
              <w:t>吨、透水砖</w:t>
            </w:r>
            <w:r>
              <w:rPr>
                <w:rFonts w:ascii="宋体" w:hAnsi="宋体" w:cs="宋体"/>
                <w:kern w:val="0"/>
                <w:sz w:val="18"/>
                <w:szCs w:val="18"/>
              </w:rPr>
              <w:t>10</w:t>
            </w:r>
            <w:r>
              <w:rPr>
                <w:rFonts w:hint="eastAsia" w:ascii="宋体" w:hAnsi="宋体" w:cs="宋体"/>
                <w:kern w:val="0"/>
                <w:sz w:val="18"/>
                <w:szCs w:val="18"/>
              </w:rPr>
              <w:t>万平方米</w:t>
            </w:r>
          </w:p>
        </w:tc>
        <w:tc>
          <w:tcPr>
            <w:tcW w:w="1242" w:type="dxa"/>
            <w:vAlign w:val="center"/>
          </w:tcPr>
          <w:p>
            <w:pPr>
              <w:widowControl/>
              <w:jc w:val="right"/>
              <w:rPr>
                <w:rFonts w:ascii="宋体" w:cs="Times New Roman"/>
                <w:kern w:val="0"/>
                <w:sz w:val="18"/>
                <w:szCs w:val="18"/>
              </w:rPr>
            </w:pPr>
            <w:r>
              <w:rPr>
                <w:rFonts w:ascii="宋体" w:hAnsi="宋体" w:cs="宋体"/>
                <w:kern w:val="0"/>
                <w:sz w:val="18"/>
                <w:szCs w:val="18"/>
              </w:rPr>
              <w:t>3,000</w:t>
            </w:r>
          </w:p>
        </w:tc>
        <w:tc>
          <w:tcPr>
            <w:tcW w:w="1213" w:type="dxa"/>
            <w:vAlign w:val="center"/>
          </w:tcPr>
          <w:p>
            <w:pPr>
              <w:widowControl/>
              <w:jc w:val="right"/>
              <w:rPr>
                <w:rFonts w:ascii="宋体" w:cs="Times New Roman"/>
                <w:kern w:val="0"/>
                <w:sz w:val="18"/>
                <w:szCs w:val="18"/>
              </w:rPr>
            </w:pPr>
            <w:r>
              <w:rPr>
                <w:rFonts w:ascii="宋体" w:hAnsi="宋体" w:cs="宋体"/>
                <w:kern w:val="0"/>
                <w:sz w:val="18"/>
                <w:szCs w:val="18"/>
              </w:rPr>
              <w:t xml:space="preserve">13,000 </w:t>
            </w:r>
          </w:p>
        </w:tc>
        <w:tc>
          <w:tcPr>
            <w:tcW w:w="2557" w:type="dxa"/>
            <w:vAlign w:val="center"/>
          </w:tcPr>
          <w:p>
            <w:pPr>
              <w:widowControl/>
              <w:jc w:val="left"/>
              <w:rPr>
                <w:rFonts w:ascii="宋体" w:cs="Times New Roman"/>
                <w:kern w:val="0"/>
                <w:sz w:val="18"/>
                <w:szCs w:val="18"/>
              </w:rPr>
            </w:pPr>
            <w:r>
              <w:rPr>
                <w:rFonts w:hint="eastAsia" w:ascii="宋体" w:hAnsi="宋体" w:cs="宋体"/>
                <w:kern w:val="0"/>
                <w:sz w:val="18"/>
                <w:szCs w:val="18"/>
              </w:rPr>
              <w:t>长汀</w:t>
            </w:r>
          </w:p>
        </w:tc>
      </w:tr>
      <w:tr>
        <w:trPr>
          <w:trHeight w:val="1065" w:hRule="atLeast"/>
        </w:trPr>
        <w:tc>
          <w:tcPr>
            <w:tcW w:w="714" w:type="dxa"/>
            <w:shd w:val="clear" w:color="auto" w:fill="D9D9D9"/>
            <w:vAlign w:val="center"/>
          </w:tcPr>
          <w:p>
            <w:pPr>
              <w:jc w:val="center"/>
              <w:rPr>
                <w:b/>
                <w:bCs/>
                <w:sz w:val="18"/>
                <w:szCs w:val="18"/>
              </w:rPr>
            </w:pPr>
            <w:r>
              <w:rPr>
                <w:b/>
                <w:bCs/>
                <w:sz w:val="18"/>
                <w:szCs w:val="18"/>
              </w:rPr>
              <w:t>146</w:t>
            </w:r>
          </w:p>
        </w:tc>
        <w:tc>
          <w:tcPr>
            <w:tcW w:w="2577" w:type="dxa"/>
            <w:vAlign w:val="center"/>
          </w:tcPr>
          <w:p>
            <w:pPr>
              <w:widowControl/>
              <w:jc w:val="left"/>
              <w:rPr>
                <w:rFonts w:ascii="宋体" w:cs="Times New Roman"/>
                <w:kern w:val="0"/>
                <w:sz w:val="18"/>
                <w:szCs w:val="18"/>
              </w:rPr>
            </w:pPr>
            <w:r>
              <w:rPr>
                <w:rFonts w:hint="eastAsia" w:ascii="宋体" w:hAnsi="宋体" w:cs="宋体"/>
                <w:kern w:val="0"/>
                <w:sz w:val="18"/>
                <w:szCs w:val="18"/>
              </w:rPr>
              <w:t>年产</w:t>
            </w:r>
            <w:r>
              <w:rPr>
                <w:rFonts w:ascii="Times New Roman" w:hAnsi="Times New Roman" w:cs="Times New Roman"/>
                <w:kern w:val="0"/>
                <w:sz w:val="18"/>
                <w:szCs w:val="18"/>
              </w:rPr>
              <w:t>50</w:t>
            </w:r>
            <w:r>
              <w:rPr>
                <w:rFonts w:hint="eastAsia" w:ascii="宋体" w:hAnsi="宋体" w:cs="宋体"/>
                <w:kern w:val="0"/>
                <w:sz w:val="18"/>
                <w:szCs w:val="18"/>
              </w:rPr>
              <w:t>万支精密刀具生产线</w:t>
            </w:r>
          </w:p>
        </w:tc>
        <w:tc>
          <w:tcPr>
            <w:tcW w:w="1718" w:type="dxa"/>
            <w:vAlign w:val="center"/>
          </w:tcPr>
          <w:p>
            <w:pPr>
              <w:widowControl/>
              <w:jc w:val="left"/>
              <w:rPr>
                <w:rFonts w:ascii="宋体" w:cs="Times New Roman"/>
                <w:kern w:val="0"/>
                <w:sz w:val="18"/>
                <w:szCs w:val="18"/>
              </w:rPr>
            </w:pPr>
            <w:r>
              <w:rPr>
                <w:rFonts w:hint="eastAsia" w:ascii="宋体" w:hAnsi="宋体" w:cs="宋体"/>
                <w:kern w:val="0"/>
                <w:sz w:val="18"/>
                <w:szCs w:val="18"/>
              </w:rPr>
              <w:t>福建万恒精密刀具有限公司</w:t>
            </w:r>
          </w:p>
        </w:tc>
        <w:tc>
          <w:tcPr>
            <w:tcW w:w="4153" w:type="dxa"/>
            <w:vAlign w:val="center"/>
          </w:tcPr>
          <w:p>
            <w:pPr>
              <w:widowControl/>
              <w:spacing w:line="260" w:lineRule="exact"/>
              <w:jc w:val="left"/>
              <w:rPr>
                <w:rFonts w:ascii="宋体" w:cs="Times New Roman"/>
                <w:kern w:val="0"/>
                <w:sz w:val="18"/>
                <w:szCs w:val="18"/>
              </w:rPr>
            </w:pPr>
            <w:r>
              <w:rPr>
                <w:rFonts w:hint="eastAsia" w:ascii="宋体" w:hAnsi="宋体" w:cs="宋体"/>
                <w:kern w:val="0"/>
                <w:sz w:val="18"/>
                <w:szCs w:val="18"/>
              </w:rPr>
              <w:t>在原厂投资</w:t>
            </w:r>
            <w:r>
              <w:rPr>
                <w:rFonts w:ascii="Times New Roman" w:hAnsi="Times New Roman" w:cs="Times New Roman"/>
                <w:kern w:val="0"/>
                <w:sz w:val="18"/>
                <w:szCs w:val="18"/>
              </w:rPr>
              <w:t>3000</w:t>
            </w:r>
            <w:r>
              <w:rPr>
                <w:rFonts w:hint="eastAsia" w:ascii="宋体" w:hAnsi="宋体" w:cs="宋体"/>
                <w:kern w:val="0"/>
                <w:sz w:val="18"/>
                <w:szCs w:val="18"/>
              </w:rPr>
              <w:t>万元扩建</w:t>
            </w:r>
            <w:r>
              <w:rPr>
                <w:rFonts w:ascii="Times New Roman" w:hAnsi="Times New Roman" w:cs="Times New Roman"/>
                <w:kern w:val="0"/>
                <w:sz w:val="18"/>
                <w:szCs w:val="18"/>
              </w:rPr>
              <w:t>4500</w:t>
            </w:r>
            <w:r>
              <w:rPr>
                <w:rFonts w:hint="eastAsia" w:ascii="宋体" w:hAnsi="宋体" w:cs="宋体"/>
                <w:kern w:val="0"/>
                <w:sz w:val="18"/>
                <w:szCs w:val="18"/>
              </w:rPr>
              <w:t>平方米生产线，购买</w:t>
            </w:r>
            <w:r>
              <w:rPr>
                <w:rFonts w:ascii="Times New Roman" w:hAnsi="Times New Roman" w:cs="Times New Roman"/>
                <w:kern w:val="0"/>
                <w:sz w:val="18"/>
                <w:szCs w:val="18"/>
              </w:rPr>
              <w:t>15</w:t>
            </w:r>
            <w:r>
              <w:rPr>
                <w:rFonts w:hint="eastAsia" w:ascii="宋体" w:hAnsi="宋体" w:cs="宋体"/>
                <w:kern w:val="0"/>
                <w:sz w:val="18"/>
                <w:szCs w:val="18"/>
              </w:rPr>
              <w:t>台五轴数控磨床及相关配套仪器，新增精密刀具生产线</w:t>
            </w:r>
            <w:r>
              <w:rPr>
                <w:rFonts w:ascii="Times New Roman" w:hAnsi="Times New Roman" w:cs="Times New Roman"/>
                <w:kern w:val="0"/>
                <w:sz w:val="18"/>
                <w:szCs w:val="18"/>
              </w:rPr>
              <w:t>15</w:t>
            </w:r>
            <w:r>
              <w:rPr>
                <w:rFonts w:hint="eastAsia" w:ascii="宋体" w:hAnsi="宋体" w:cs="宋体"/>
                <w:kern w:val="0"/>
                <w:sz w:val="18"/>
                <w:szCs w:val="18"/>
              </w:rPr>
              <w:t>条，增加</w:t>
            </w:r>
            <w:r>
              <w:rPr>
                <w:rFonts w:ascii="Times New Roman" w:hAnsi="Times New Roman" w:cs="Times New Roman"/>
                <w:kern w:val="0"/>
                <w:sz w:val="18"/>
                <w:szCs w:val="18"/>
              </w:rPr>
              <w:t>50</w:t>
            </w:r>
            <w:r>
              <w:rPr>
                <w:rFonts w:hint="eastAsia" w:ascii="宋体" w:hAnsi="宋体" w:cs="宋体"/>
                <w:kern w:val="0"/>
                <w:sz w:val="18"/>
                <w:szCs w:val="18"/>
              </w:rPr>
              <w:t>万支精密刀具产能，达产后年产能</w:t>
            </w:r>
            <w:r>
              <w:rPr>
                <w:rFonts w:ascii="Times New Roman" w:hAnsi="Times New Roman" w:cs="Times New Roman"/>
                <w:kern w:val="0"/>
                <w:sz w:val="18"/>
                <w:szCs w:val="18"/>
              </w:rPr>
              <w:t>100</w:t>
            </w:r>
            <w:r>
              <w:rPr>
                <w:rFonts w:hint="eastAsia" w:ascii="宋体" w:hAnsi="宋体" w:cs="宋体"/>
                <w:kern w:val="0"/>
                <w:sz w:val="18"/>
                <w:szCs w:val="18"/>
              </w:rPr>
              <w:t>万支精密刀具生产能力。</w:t>
            </w:r>
          </w:p>
        </w:tc>
        <w:tc>
          <w:tcPr>
            <w:tcW w:w="1242" w:type="dxa"/>
            <w:vAlign w:val="center"/>
          </w:tcPr>
          <w:p>
            <w:pPr>
              <w:widowControl/>
              <w:jc w:val="right"/>
              <w:rPr>
                <w:rFonts w:ascii="宋体" w:cs="Times New Roman"/>
                <w:kern w:val="0"/>
                <w:sz w:val="18"/>
                <w:szCs w:val="18"/>
              </w:rPr>
            </w:pPr>
            <w:r>
              <w:rPr>
                <w:rFonts w:ascii="宋体" w:hAnsi="宋体" w:cs="宋体"/>
                <w:kern w:val="0"/>
                <w:sz w:val="18"/>
                <w:szCs w:val="18"/>
              </w:rPr>
              <w:t>3,000</w:t>
            </w:r>
          </w:p>
        </w:tc>
        <w:tc>
          <w:tcPr>
            <w:tcW w:w="1213" w:type="dxa"/>
            <w:vAlign w:val="center"/>
          </w:tcPr>
          <w:p>
            <w:pPr>
              <w:widowControl/>
              <w:jc w:val="right"/>
              <w:rPr>
                <w:rFonts w:ascii="宋体" w:cs="Times New Roman"/>
                <w:kern w:val="0"/>
                <w:sz w:val="18"/>
                <w:szCs w:val="18"/>
              </w:rPr>
            </w:pPr>
          </w:p>
        </w:tc>
        <w:tc>
          <w:tcPr>
            <w:tcW w:w="2557" w:type="dxa"/>
            <w:vAlign w:val="center"/>
          </w:tcPr>
          <w:p>
            <w:pPr>
              <w:widowControl/>
              <w:jc w:val="center"/>
              <w:rPr>
                <w:rFonts w:ascii="宋体" w:cs="Times New Roman"/>
                <w:kern w:val="0"/>
                <w:sz w:val="18"/>
                <w:szCs w:val="18"/>
              </w:rPr>
            </w:pPr>
          </w:p>
        </w:tc>
      </w:tr>
      <w:tr>
        <w:trPr>
          <w:trHeight w:val="795" w:hRule="atLeast"/>
        </w:trPr>
        <w:tc>
          <w:tcPr>
            <w:tcW w:w="714" w:type="dxa"/>
            <w:shd w:val="clear" w:color="auto" w:fill="D9D9D9"/>
            <w:vAlign w:val="center"/>
          </w:tcPr>
          <w:p>
            <w:pPr>
              <w:jc w:val="center"/>
              <w:rPr>
                <w:b/>
                <w:bCs/>
                <w:sz w:val="18"/>
                <w:szCs w:val="18"/>
              </w:rPr>
            </w:pPr>
            <w:r>
              <w:rPr>
                <w:b/>
                <w:bCs/>
                <w:sz w:val="18"/>
                <w:szCs w:val="18"/>
              </w:rPr>
              <w:t>147</w:t>
            </w:r>
          </w:p>
        </w:tc>
        <w:tc>
          <w:tcPr>
            <w:tcW w:w="2577" w:type="dxa"/>
            <w:vAlign w:val="center"/>
          </w:tcPr>
          <w:p>
            <w:pPr>
              <w:widowControl/>
              <w:jc w:val="left"/>
              <w:rPr>
                <w:rFonts w:ascii="宋体" w:cs="Times New Roman"/>
                <w:kern w:val="0"/>
                <w:sz w:val="18"/>
                <w:szCs w:val="18"/>
              </w:rPr>
            </w:pPr>
            <w:r>
              <w:rPr>
                <w:rFonts w:hint="eastAsia" w:ascii="宋体" w:hAnsi="宋体" w:cs="宋体"/>
                <w:kern w:val="0"/>
                <w:sz w:val="18"/>
                <w:szCs w:val="18"/>
              </w:rPr>
              <w:t>钨钢精密模具材料项目</w:t>
            </w:r>
          </w:p>
        </w:tc>
        <w:tc>
          <w:tcPr>
            <w:tcW w:w="1718" w:type="dxa"/>
            <w:vAlign w:val="center"/>
          </w:tcPr>
          <w:p>
            <w:pPr>
              <w:widowControl/>
              <w:jc w:val="left"/>
              <w:rPr>
                <w:rFonts w:ascii="宋体" w:cs="Times New Roman"/>
                <w:kern w:val="0"/>
                <w:sz w:val="18"/>
                <w:szCs w:val="18"/>
              </w:rPr>
            </w:pPr>
            <w:r>
              <w:rPr>
                <w:rFonts w:hint="eastAsia" w:ascii="宋体" w:hAnsi="宋体" w:cs="宋体"/>
                <w:kern w:val="0"/>
                <w:sz w:val="18"/>
                <w:szCs w:val="18"/>
              </w:rPr>
              <w:t>福建中成新材料科技有限公司</w:t>
            </w:r>
          </w:p>
        </w:tc>
        <w:tc>
          <w:tcPr>
            <w:tcW w:w="4153" w:type="dxa"/>
            <w:vAlign w:val="center"/>
          </w:tcPr>
          <w:p>
            <w:pPr>
              <w:widowControl/>
              <w:spacing w:line="260" w:lineRule="exact"/>
              <w:jc w:val="left"/>
              <w:rPr>
                <w:rFonts w:ascii="宋体" w:cs="Times New Roman"/>
                <w:kern w:val="0"/>
                <w:sz w:val="18"/>
                <w:szCs w:val="18"/>
              </w:rPr>
            </w:pPr>
            <w:r>
              <w:rPr>
                <w:rFonts w:hint="eastAsia" w:ascii="宋体" w:hAnsi="宋体" w:cs="宋体"/>
                <w:kern w:val="0"/>
                <w:sz w:val="18"/>
                <w:szCs w:val="18"/>
              </w:rPr>
              <w:t>投资</w:t>
            </w:r>
            <w:r>
              <w:rPr>
                <w:rFonts w:ascii="Times New Roman" w:hAnsi="Times New Roman" w:cs="Times New Roman"/>
                <w:kern w:val="0"/>
                <w:sz w:val="18"/>
                <w:szCs w:val="18"/>
              </w:rPr>
              <w:t>1000</w:t>
            </w:r>
            <w:r>
              <w:rPr>
                <w:rFonts w:hint="eastAsia" w:ascii="宋体" w:hAnsi="宋体" w:cs="宋体"/>
                <w:kern w:val="0"/>
                <w:sz w:val="18"/>
                <w:szCs w:val="18"/>
              </w:rPr>
              <w:t>万元在原厂建设年产</w:t>
            </w:r>
            <w:r>
              <w:rPr>
                <w:rFonts w:ascii="Times New Roman" w:hAnsi="Times New Roman" w:cs="Times New Roman"/>
                <w:kern w:val="0"/>
                <w:sz w:val="18"/>
                <w:szCs w:val="18"/>
              </w:rPr>
              <w:t>30</w:t>
            </w:r>
            <w:r>
              <w:rPr>
                <w:rFonts w:hint="eastAsia" w:ascii="宋体" w:hAnsi="宋体" w:cs="宋体"/>
                <w:kern w:val="0"/>
                <w:sz w:val="18"/>
                <w:szCs w:val="18"/>
              </w:rPr>
              <w:t>吨钨钢精密模具材料项目，</w:t>
            </w:r>
            <w:r>
              <w:rPr>
                <w:rFonts w:hint="eastAsia" w:ascii="Times New Roman" w:hAnsi="Times New Roman" w:cs="宋体"/>
                <w:kern w:val="0"/>
                <w:sz w:val="18"/>
                <w:szCs w:val="18"/>
              </w:rPr>
              <w:t>目前</w:t>
            </w:r>
            <w:r>
              <w:rPr>
                <w:rFonts w:hint="eastAsia" w:ascii="宋体" w:hAnsi="宋体" w:cs="宋体"/>
                <w:kern w:val="0"/>
                <w:sz w:val="18"/>
                <w:szCs w:val="18"/>
              </w:rPr>
              <w:t>项目正在试产阶段，项目达产后年产值在</w:t>
            </w:r>
            <w:r>
              <w:rPr>
                <w:rFonts w:ascii="Times New Roman" w:hAnsi="Times New Roman" w:cs="Times New Roman"/>
                <w:kern w:val="0"/>
                <w:sz w:val="18"/>
                <w:szCs w:val="18"/>
              </w:rPr>
              <w:t>2000-3000</w:t>
            </w:r>
            <w:r>
              <w:rPr>
                <w:rFonts w:hint="eastAsia" w:ascii="宋体" w:hAnsi="宋体" w:cs="宋体"/>
                <w:kern w:val="0"/>
                <w:sz w:val="18"/>
                <w:szCs w:val="18"/>
              </w:rPr>
              <w:t>万元。</w:t>
            </w:r>
          </w:p>
        </w:tc>
        <w:tc>
          <w:tcPr>
            <w:tcW w:w="1242" w:type="dxa"/>
            <w:vAlign w:val="center"/>
          </w:tcPr>
          <w:p>
            <w:pPr>
              <w:widowControl/>
              <w:jc w:val="right"/>
              <w:rPr>
                <w:rFonts w:ascii="宋体" w:cs="Times New Roman"/>
                <w:kern w:val="0"/>
                <w:sz w:val="18"/>
                <w:szCs w:val="18"/>
              </w:rPr>
            </w:pPr>
            <w:r>
              <w:rPr>
                <w:rFonts w:ascii="宋体" w:hAnsi="宋体" w:cs="宋体"/>
                <w:kern w:val="0"/>
                <w:sz w:val="18"/>
                <w:szCs w:val="18"/>
              </w:rPr>
              <w:t>1,000</w:t>
            </w:r>
          </w:p>
        </w:tc>
        <w:tc>
          <w:tcPr>
            <w:tcW w:w="1213" w:type="dxa"/>
            <w:vAlign w:val="center"/>
          </w:tcPr>
          <w:p>
            <w:pPr>
              <w:widowControl/>
              <w:jc w:val="right"/>
              <w:rPr>
                <w:rFonts w:ascii="宋体" w:cs="Times New Roman"/>
                <w:kern w:val="0"/>
                <w:sz w:val="18"/>
                <w:szCs w:val="18"/>
              </w:rPr>
            </w:pPr>
            <w:r>
              <w:rPr>
                <w:rFonts w:ascii="宋体" w:hAnsi="宋体" w:cs="宋体"/>
                <w:kern w:val="0"/>
                <w:sz w:val="18"/>
                <w:szCs w:val="18"/>
              </w:rPr>
              <w:t>2,500</w:t>
            </w:r>
          </w:p>
        </w:tc>
        <w:tc>
          <w:tcPr>
            <w:tcW w:w="2557" w:type="dxa"/>
            <w:vAlign w:val="center"/>
          </w:tcPr>
          <w:p>
            <w:pPr>
              <w:widowControl/>
              <w:jc w:val="center"/>
              <w:rPr>
                <w:rFonts w:ascii="宋体" w:cs="Times New Roman"/>
                <w:kern w:val="0"/>
                <w:sz w:val="18"/>
                <w:szCs w:val="18"/>
              </w:rPr>
            </w:pPr>
          </w:p>
        </w:tc>
      </w:tr>
      <w:tr>
        <w:trPr>
          <w:trHeight w:val="228" w:hRule="atLeast"/>
        </w:trPr>
        <w:tc>
          <w:tcPr>
            <w:tcW w:w="714" w:type="dxa"/>
            <w:shd w:val="clear" w:color="auto" w:fill="D9D9D9"/>
            <w:vAlign w:val="center"/>
          </w:tcPr>
          <w:p>
            <w:pPr>
              <w:jc w:val="center"/>
              <w:rPr>
                <w:b/>
                <w:bCs/>
                <w:sz w:val="18"/>
                <w:szCs w:val="18"/>
              </w:rPr>
            </w:pPr>
            <w:r>
              <w:rPr>
                <w:b/>
                <w:bCs/>
                <w:sz w:val="18"/>
                <w:szCs w:val="18"/>
              </w:rPr>
              <w:t>148</w:t>
            </w:r>
          </w:p>
        </w:tc>
        <w:tc>
          <w:tcPr>
            <w:tcW w:w="2577" w:type="dxa"/>
            <w:vAlign w:val="center"/>
          </w:tcPr>
          <w:p>
            <w:pPr>
              <w:widowControl/>
              <w:spacing w:line="260" w:lineRule="exact"/>
              <w:jc w:val="left"/>
              <w:rPr>
                <w:rFonts w:ascii="宋体" w:cs="Times New Roman"/>
                <w:kern w:val="0"/>
                <w:sz w:val="18"/>
                <w:szCs w:val="18"/>
              </w:rPr>
            </w:pPr>
            <w:r>
              <w:rPr>
                <w:rFonts w:hint="eastAsia" w:ascii="宋体" w:hAnsi="宋体" w:cs="宋体"/>
                <w:kern w:val="0"/>
                <w:sz w:val="18"/>
                <w:szCs w:val="18"/>
              </w:rPr>
              <w:t>年产</w:t>
            </w:r>
            <w:r>
              <w:rPr>
                <w:rFonts w:ascii="宋体" w:hAnsi="宋体" w:cs="宋体"/>
                <w:kern w:val="0"/>
                <w:sz w:val="18"/>
                <w:szCs w:val="18"/>
              </w:rPr>
              <w:t>500</w:t>
            </w:r>
            <w:r>
              <w:rPr>
                <w:rFonts w:hint="eastAsia" w:ascii="宋体" w:hAnsi="宋体" w:cs="宋体"/>
                <w:kern w:val="0"/>
                <w:sz w:val="18"/>
                <w:szCs w:val="18"/>
              </w:rPr>
              <w:t>吨非标异型产品项目</w:t>
            </w:r>
          </w:p>
        </w:tc>
        <w:tc>
          <w:tcPr>
            <w:tcW w:w="1718" w:type="dxa"/>
            <w:vAlign w:val="center"/>
          </w:tcPr>
          <w:p>
            <w:pPr>
              <w:widowControl/>
              <w:jc w:val="left"/>
              <w:rPr>
                <w:rFonts w:ascii="宋体" w:cs="Times New Roman"/>
                <w:kern w:val="0"/>
                <w:sz w:val="18"/>
                <w:szCs w:val="18"/>
              </w:rPr>
            </w:pPr>
            <w:r>
              <w:rPr>
                <w:rFonts w:hint="eastAsia" w:ascii="宋体" w:hAnsi="宋体" w:cs="宋体"/>
                <w:kern w:val="0"/>
                <w:sz w:val="18"/>
                <w:szCs w:val="18"/>
              </w:rPr>
              <w:t>台湾翊伟</w:t>
            </w:r>
          </w:p>
        </w:tc>
        <w:tc>
          <w:tcPr>
            <w:tcW w:w="4153" w:type="dxa"/>
            <w:vAlign w:val="center"/>
          </w:tcPr>
          <w:p>
            <w:pPr>
              <w:widowControl/>
              <w:jc w:val="left"/>
              <w:rPr>
                <w:rFonts w:ascii="宋体" w:cs="Times New Roman"/>
                <w:kern w:val="0"/>
                <w:sz w:val="18"/>
                <w:szCs w:val="18"/>
              </w:rPr>
            </w:pPr>
            <w:r>
              <w:rPr>
                <w:rFonts w:hint="eastAsia" w:ascii="宋体" w:hAnsi="宋体" w:cs="宋体"/>
                <w:kern w:val="0"/>
                <w:sz w:val="18"/>
                <w:szCs w:val="18"/>
              </w:rPr>
              <w:t>年产</w:t>
            </w:r>
            <w:r>
              <w:rPr>
                <w:rFonts w:ascii="宋体" w:hAnsi="宋体" w:cs="宋体"/>
                <w:kern w:val="0"/>
                <w:sz w:val="18"/>
                <w:szCs w:val="18"/>
              </w:rPr>
              <w:t>500</w:t>
            </w:r>
            <w:r>
              <w:rPr>
                <w:rFonts w:hint="eastAsia" w:ascii="宋体" w:hAnsi="宋体" w:cs="宋体"/>
                <w:kern w:val="0"/>
                <w:sz w:val="18"/>
                <w:szCs w:val="18"/>
              </w:rPr>
              <w:t>吨硬质合金非标异型产品</w:t>
            </w:r>
          </w:p>
        </w:tc>
        <w:tc>
          <w:tcPr>
            <w:tcW w:w="1242" w:type="dxa"/>
            <w:vAlign w:val="center"/>
          </w:tcPr>
          <w:p>
            <w:pPr>
              <w:widowControl/>
              <w:jc w:val="right"/>
              <w:rPr>
                <w:rFonts w:ascii="宋体" w:cs="Times New Roman"/>
                <w:kern w:val="0"/>
                <w:sz w:val="18"/>
                <w:szCs w:val="18"/>
              </w:rPr>
            </w:pPr>
            <w:r>
              <w:rPr>
                <w:rFonts w:ascii="宋体" w:hAnsi="宋体" w:cs="宋体"/>
                <w:kern w:val="0"/>
                <w:sz w:val="18"/>
                <w:szCs w:val="18"/>
              </w:rPr>
              <w:t>20,000</w:t>
            </w:r>
          </w:p>
        </w:tc>
        <w:tc>
          <w:tcPr>
            <w:tcW w:w="1213" w:type="dxa"/>
            <w:vAlign w:val="center"/>
          </w:tcPr>
          <w:p>
            <w:pPr>
              <w:widowControl/>
              <w:jc w:val="right"/>
              <w:rPr>
                <w:rFonts w:ascii="宋体" w:cs="Times New Roman"/>
                <w:kern w:val="0"/>
                <w:sz w:val="18"/>
                <w:szCs w:val="18"/>
              </w:rPr>
            </w:pPr>
            <w:r>
              <w:rPr>
                <w:rFonts w:ascii="宋体" w:hAnsi="宋体" w:cs="宋体"/>
                <w:kern w:val="0"/>
                <w:sz w:val="18"/>
                <w:szCs w:val="18"/>
              </w:rPr>
              <w:t>17,000</w:t>
            </w:r>
          </w:p>
        </w:tc>
        <w:tc>
          <w:tcPr>
            <w:tcW w:w="2557" w:type="dxa"/>
            <w:vAlign w:val="center"/>
          </w:tcPr>
          <w:p>
            <w:pPr>
              <w:widowControl/>
              <w:jc w:val="center"/>
              <w:rPr>
                <w:rFonts w:ascii="宋体" w:cs="Times New Roman"/>
                <w:kern w:val="0"/>
                <w:sz w:val="18"/>
                <w:szCs w:val="18"/>
              </w:rPr>
            </w:pPr>
          </w:p>
        </w:tc>
      </w:tr>
      <w:tr>
        <w:trPr>
          <w:trHeight w:val="306" w:hRule="atLeast"/>
        </w:trPr>
        <w:tc>
          <w:tcPr>
            <w:tcW w:w="714" w:type="dxa"/>
            <w:shd w:val="clear" w:color="auto" w:fill="D9D9D9"/>
            <w:vAlign w:val="center"/>
          </w:tcPr>
          <w:p>
            <w:pPr>
              <w:jc w:val="center"/>
              <w:rPr>
                <w:b/>
                <w:bCs/>
                <w:sz w:val="18"/>
                <w:szCs w:val="18"/>
              </w:rPr>
            </w:pPr>
            <w:r>
              <w:rPr>
                <w:b/>
                <w:bCs/>
                <w:sz w:val="18"/>
                <w:szCs w:val="18"/>
              </w:rPr>
              <w:t>149</w:t>
            </w:r>
          </w:p>
        </w:tc>
        <w:tc>
          <w:tcPr>
            <w:tcW w:w="2577" w:type="dxa"/>
            <w:vAlign w:val="center"/>
          </w:tcPr>
          <w:p>
            <w:pPr>
              <w:widowControl/>
              <w:spacing w:line="260" w:lineRule="exact"/>
              <w:jc w:val="left"/>
              <w:rPr>
                <w:rFonts w:ascii="宋体" w:cs="Times New Roman"/>
                <w:kern w:val="0"/>
                <w:sz w:val="18"/>
                <w:szCs w:val="18"/>
              </w:rPr>
            </w:pPr>
            <w:r>
              <w:rPr>
                <w:rFonts w:hint="eastAsia" w:ascii="宋体" w:hAnsi="宋体" w:cs="宋体"/>
                <w:kern w:val="0"/>
                <w:sz w:val="18"/>
                <w:szCs w:val="18"/>
              </w:rPr>
              <w:t>年产</w:t>
            </w:r>
            <w:r>
              <w:rPr>
                <w:rFonts w:ascii="宋体" w:hAnsi="宋体" w:cs="宋体"/>
                <w:kern w:val="0"/>
                <w:sz w:val="18"/>
                <w:szCs w:val="18"/>
              </w:rPr>
              <w:t>500</w:t>
            </w:r>
            <w:r>
              <w:rPr>
                <w:rFonts w:hint="eastAsia" w:ascii="宋体" w:hAnsi="宋体" w:cs="宋体"/>
                <w:kern w:val="0"/>
                <w:sz w:val="18"/>
                <w:szCs w:val="18"/>
              </w:rPr>
              <w:t>吨硬质合金木工刀项目</w:t>
            </w:r>
          </w:p>
        </w:tc>
        <w:tc>
          <w:tcPr>
            <w:tcW w:w="1718" w:type="dxa"/>
            <w:vAlign w:val="center"/>
          </w:tcPr>
          <w:p>
            <w:pPr>
              <w:widowControl/>
              <w:jc w:val="left"/>
              <w:rPr>
                <w:rFonts w:ascii="宋体" w:cs="Times New Roman"/>
                <w:kern w:val="0"/>
                <w:sz w:val="18"/>
                <w:szCs w:val="18"/>
              </w:rPr>
            </w:pPr>
            <w:r>
              <w:rPr>
                <w:rFonts w:hint="eastAsia" w:ascii="宋体" w:hAnsi="宋体" w:cs="宋体"/>
                <w:kern w:val="0"/>
                <w:sz w:val="18"/>
                <w:szCs w:val="18"/>
              </w:rPr>
              <w:t>河源富马</w:t>
            </w:r>
          </w:p>
        </w:tc>
        <w:tc>
          <w:tcPr>
            <w:tcW w:w="4153" w:type="dxa"/>
            <w:vAlign w:val="center"/>
          </w:tcPr>
          <w:p>
            <w:pPr>
              <w:widowControl/>
              <w:jc w:val="left"/>
              <w:rPr>
                <w:rFonts w:ascii="宋体" w:cs="Times New Roman"/>
                <w:kern w:val="0"/>
                <w:sz w:val="18"/>
                <w:szCs w:val="18"/>
              </w:rPr>
            </w:pPr>
            <w:r>
              <w:rPr>
                <w:rFonts w:hint="eastAsia" w:ascii="宋体" w:hAnsi="宋体" w:cs="宋体"/>
                <w:kern w:val="0"/>
                <w:sz w:val="18"/>
                <w:szCs w:val="18"/>
              </w:rPr>
              <w:t>年产</w:t>
            </w:r>
            <w:r>
              <w:rPr>
                <w:rFonts w:ascii="宋体" w:hAnsi="宋体" w:cs="宋体"/>
                <w:kern w:val="0"/>
                <w:sz w:val="18"/>
                <w:szCs w:val="18"/>
              </w:rPr>
              <w:t>500</w:t>
            </w:r>
            <w:r>
              <w:rPr>
                <w:rFonts w:hint="eastAsia" w:ascii="宋体" w:hAnsi="宋体" w:cs="宋体"/>
                <w:kern w:val="0"/>
                <w:sz w:val="18"/>
                <w:szCs w:val="18"/>
              </w:rPr>
              <w:t>吨硬质合金木工刀</w:t>
            </w:r>
          </w:p>
        </w:tc>
        <w:tc>
          <w:tcPr>
            <w:tcW w:w="1242" w:type="dxa"/>
            <w:vAlign w:val="center"/>
          </w:tcPr>
          <w:p>
            <w:pPr>
              <w:widowControl/>
              <w:jc w:val="right"/>
              <w:rPr>
                <w:rFonts w:ascii="宋体" w:cs="Times New Roman"/>
                <w:kern w:val="0"/>
                <w:sz w:val="18"/>
                <w:szCs w:val="18"/>
              </w:rPr>
            </w:pPr>
            <w:r>
              <w:rPr>
                <w:rFonts w:ascii="宋体" w:hAnsi="宋体" w:cs="宋体"/>
                <w:kern w:val="0"/>
                <w:sz w:val="18"/>
                <w:szCs w:val="18"/>
              </w:rPr>
              <w:t>20,000</w:t>
            </w:r>
          </w:p>
        </w:tc>
        <w:tc>
          <w:tcPr>
            <w:tcW w:w="1213" w:type="dxa"/>
            <w:vAlign w:val="center"/>
          </w:tcPr>
          <w:p>
            <w:pPr>
              <w:widowControl/>
              <w:jc w:val="right"/>
              <w:rPr>
                <w:rFonts w:ascii="宋体" w:cs="Times New Roman"/>
                <w:kern w:val="0"/>
                <w:sz w:val="18"/>
                <w:szCs w:val="18"/>
              </w:rPr>
            </w:pPr>
            <w:r>
              <w:rPr>
                <w:rFonts w:ascii="宋体" w:hAnsi="宋体" w:cs="宋体"/>
                <w:kern w:val="0"/>
                <w:sz w:val="18"/>
                <w:szCs w:val="18"/>
              </w:rPr>
              <w:t>15,000</w:t>
            </w:r>
          </w:p>
        </w:tc>
        <w:tc>
          <w:tcPr>
            <w:tcW w:w="2557" w:type="dxa"/>
            <w:vAlign w:val="center"/>
          </w:tcPr>
          <w:p>
            <w:pPr>
              <w:widowControl/>
              <w:jc w:val="center"/>
              <w:rPr>
                <w:rFonts w:ascii="宋体" w:cs="Times New Roman"/>
                <w:kern w:val="0"/>
                <w:sz w:val="18"/>
                <w:szCs w:val="18"/>
              </w:rPr>
            </w:pPr>
          </w:p>
        </w:tc>
      </w:tr>
      <w:tr>
        <w:trPr>
          <w:trHeight w:val="480" w:hRule="atLeast"/>
        </w:trPr>
        <w:tc>
          <w:tcPr>
            <w:tcW w:w="714" w:type="dxa"/>
            <w:shd w:val="clear" w:color="auto" w:fill="D9D9D9"/>
            <w:vAlign w:val="center"/>
          </w:tcPr>
          <w:p>
            <w:pPr>
              <w:jc w:val="center"/>
              <w:rPr>
                <w:b/>
                <w:bCs/>
                <w:sz w:val="18"/>
                <w:szCs w:val="18"/>
              </w:rPr>
            </w:pPr>
            <w:r>
              <w:rPr>
                <w:b/>
                <w:bCs/>
                <w:sz w:val="18"/>
                <w:szCs w:val="18"/>
              </w:rPr>
              <w:t>150</w:t>
            </w:r>
          </w:p>
        </w:tc>
        <w:tc>
          <w:tcPr>
            <w:tcW w:w="2577" w:type="dxa"/>
            <w:vAlign w:val="center"/>
          </w:tcPr>
          <w:p>
            <w:pPr>
              <w:widowControl/>
              <w:spacing w:line="260" w:lineRule="exact"/>
              <w:jc w:val="left"/>
              <w:rPr>
                <w:rFonts w:ascii="宋体" w:cs="Times New Roman"/>
                <w:kern w:val="0"/>
                <w:sz w:val="18"/>
                <w:szCs w:val="18"/>
              </w:rPr>
            </w:pPr>
            <w:r>
              <w:rPr>
                <w:rFonts w:hint="eastAsia" w:ascii="宋体" w:hAnsi="宋体" w:cs="宋体"/>
                <w:kern w:val="0"/>
                <w:sz w:val="18"/>
                <w:szCs w:val="18"/>
              </w:rPr>
              <w:t>年产</w:t>
            </w:r>
            <w:r>
              <w:rPr>
                <w:rFonts w:ascii="宋体" w:hAnsi="宋体" w:cs="宋体"/>
                <w:kern w:val="0"/>
                <w:sz w:val="18"/>
                <w:szCs w:val="18"/>
              </w:rPr>
              <w:t>500</w:t>
            </w:r>
            <w:r>
              <w:rPr>
                <w:rFonts w:hint="eastAsia" w:ascii="宋体" w:hAnsi="宋体" w:cs="宋体"/>
                <w:kern w:val="0"/>
                <w:sz w:val="18"/>
                <w:szCs w:val="18"/>
              </w:rPr>
              <w:t>吨高性能硬质合金项目</w:t>
            </w:r>
          </w:p>
        </w:tc>
        <w:tc>
          <w:tcPr>
            <w:tcW w:w="1718" w:type="dxa"/>
            <w:vAlign w:val="center"/>
          </w:tcPr>
          <w:p>
            <w:pPr>
              <w:widowControl/>
              <w:jc w:val="left"/>
              <w:rPr>
                <w:rFonts w:ascii="宋体" w:cs="Times New Roman"/>
                <w:kern w:val="0"/>
                <w:sz w:val="18"/>
                <w:szCs w:val="18"/>
              </w:rPr>
            </w:pPr>
            <w:r>
              <w:rPr>
                <w:rFonts w:hint="eastAsia" w:ascii="宋体" w:hAnsi="宋体" w:cs="宋体"/>
                <w:kern w:val="0"/>
                <w:sz w:val="18"/>
                <w:szCs w:val="18"/>
              </w:rPr>
              <w:t>厦门钨业</w:t>
            </w:r>
          </w:p>
        </w:tc>
        <w:tc>
          <w:tcPr>
            <w:tcW w:w="4153" w:type="dxa"/>
            <w:vAlign w:val="center"/>
          </w:tcPr>
          <w:p>
            <w:pPr>
              <w:widowControl/>
              <w:jc w:val="left"/>
              <w:rPr>
                <w:rFonts w:ascii="宋体" w:cs="Times New Roman"/>
                <w:kern w:val="0"/>
                <w:sz w:val="18"/>
                <w:szCs w:val="18"/>
              </w:rPr>
            </w:pPr>
            <w:r>
              <w:rPr>
                <w:rFonts w:hint="eastAsia" w:ascii="宋体" w:hAnsi="宋体" w:cs="宋体"/>
                <w:kern w:val="0"/>
                <w:sz w:val="18"/>
                <w:szCs w:val="18"/>
              </w:rPr>
              <w:t>年产</w:t>
            </w:r>
            <w:r>
              <w:rPr>
                <w:rFonts w:ascii="宋体" w:hAnsi="宋体" w:cs="宋体"/>
                <w:kern w:val="0"/>
                <w:sz w:val="18"/>
                <w:szCs w:val="18"/>
              </w:rPr>
              <w:t>500</w:t>
            </w:r>
            <w:r>
              <w:rPr>
                <w:rFonts w:hint="eastAsia" w:ascii="宋体" w:hAnsi="宋体" w:cs="宋体"/>
                <w:kern w:val="0"/>
                <w:sz w:val="18"/>
                <w:szCs w:val="18"/>
              </w:rPr>
              <w:t>吨高性能硬质合金</w:t>
            </w:r>
          </w:p>
        </w:tc>
        <w:tc>
          <w:tcPr>
            <w:tcW w:w="1242" w:type="dxa"/>
            <w:vAlign w:val="center"/>
          </w:tcPr>
          <w:p>
            <w:pPr>
              <w:widowControl/>
              <w:jc w:val="right"/>
              <w:rPr>
                <w:rFonts w:ascii="宋体" w:cs="Times New Roman"/>
                <w:kern w:val="0"/>
                <w:sz w:val="18"/>
                <w:szCs w:val="18"/>
              </w:rPr>
            </w:pPr>
            <w:r>
              <w:rPr>
                <w:rFonts w:ascii="宋体" w:hAnsi="宋体" w:cs="宋体"/>
                <w:kern w:val="0"/>
                <w:sz w:val="18"/>
                <w:szCs w:val="18"/>
              </w:rPr>
              <w:t>20,000</w:t>
            </w:r>
          </w:p>
        </w:tc>
        <w:tc>
          <w:tcPr>
            <w:tcW w:w="1213" w:type="dxa"/>
            <w:vAlign w:val="center"/>
          </w:tcPr>
          <w:p>
            <w:pPr>
              <w:widowControl/>
              <w:jc w:val="right"/>
              <w:rPr>
                <w:rFonts w:ascii="宋体" w:cs="Times New Roman"/>
                <w:kern w:val="0"/>
                <w:sz w:val="18"/>
                <w:szCs w:val="18"/>
              </w:rPr>
            </w:pPr>
            <w:r>
              <w:rPr>
                <w:rFonts w:ascii="宋体" w:hAnsi="宋体" w:cs="宋体"/>
                <w:kern w:val="0"/>
                <w:sz w:val="18"/>
                <w:szCs w:val="18"/>
              </w:rPr>
              <w:t>20,000</w:t>
            </w:r>
          </w:p>
        </w:tc>
        <w:tc>
          <w:tcPr>
            <w:tcW w:w="2557" w:type="dxa"/>
            <w:vAlign w:val="center"/>
          </w:tcPr>
          <w:p>
            <w:pPr>
              <w:widowControl/>
              <w:jc w:val="center"/>
              <w:rPr>
                <w:rFonts w:ascii="宋体" w:cs="Times New Roman"/>
                <w:kern w:val="0"/>
                <w:sz w:val="18"/>
                <w:szCs w:val="18"/>
              </w:rPr>
            </w:pPr>
          </w:p>
        </w:tc>
      </w:tr>
      <w:tr>
        <w:trPr>
          <w:trHeight w:val="485" w:hRule="atLeast"/>
        </w:trPr>
        <w:tc>
          <w:tcPr>
            <w:tcW w:w="714" w:type="dxa"/>
            <w:shd w:val="clear" w:color="auto" w:fill="D9D9D9"/>
            <w:vAlign w:val="center"/>
          </w:tcPr>
          <w:p>
            <w:pPr>
              <w:widowControl/>
              <w:jc w:val="center"/>
              <w:rPr>
                <w:rFonts w:ascii="宋体" w:cs="Times New Roman"/>
                <w:b/>
                <w:bCs/>
                <w:kern w:val="0"/>
                <w:sz w:val="18"/>
                <w:szCs w:val="18"/>
              </w:rPr>
            </w:pPr>
          </w:p>
        </w:tc>
        <w:tc>
          <w:tcPr>
            <w:tcW w:w="2577" w:type="dxa"/>
            <w:shd w:val="clear" w:color="auto" w:fill="D9D9D9"/>
            <w:vAlign w:val="center"/>
          </w:tcPr>
          <w:p>
            <w:pPr>
              <w:widowControl/>
              <w:jc w:val="left"/>
              <w:rPr>
                <w:rFonts w:ascii="宋体" w:cs="Times New Roman"/>
                <w:b/>
                <w:bCs/>
                <w:kern w:val="0"/>
                <w:sz w:val="18"/>
                <w:szCs w:val="18"/>
              </w:rPr>
            </w:pPr>
            <w:r>
              <w:rPr>
                <w:rFonts w:hint="eastAsia" w:ascii="宋体" w:hAnsi="宋体" w:cs="宋体"/>
                <w:b/>
                <w:bCs/>
                <w:kern w:val="0"/>
                <w:sz w:val="18"/>
                <w:szCs w:val="18"/>
              </w:rPr>
              <w:t>合计</w:t>
            </w:r>
          </w:p>
        </w:tc>
        <w:tc>
          <w:tcPr>
            <w:tcW w:w="1718" w:type="dxa"/>
            <w:shd w:val="clear" w:color="auto" w:fill="D9D9D9"/>
            <w:vAlign w:val="center"/>
          </w:tcPr>
          <w:p>
            <w:pPr>
              <w:widowControl/>
              <w:jc w:val="left"/>
              <w:rPr>
                <w:rFonts w:ascii="宋体" w:cs="宋体"/>
                <w:b/>
                <w:bCs/>
                <w:kern w:val="0"/>
                <w:sz w:val="18"/>
                <w:szCs w:val="18"/>
              </w:rPr>
            </w:pPr>
            <w:r>
              <w:rPr>
                <w:rFonts w:ascii="宋体" w:cs="宋体"/>
                <w:b/>
                <w:bCs/>
                <w:kern w:val="0"/>
                <w:sz w:val="18"/>
                <w:szCs w:val="18"/>
              </w:rPr>
              <w:t>-</w:t>
            </w:r>
          </w:p>
        </w:tc>
        <w:tc>
          <w:tcPr>
            <w:tcW w:w="4153" w:type="dxa"/>
            <w:shd w:val="clear" w:color="auto" w:fill="D9D9D9"/>
            <w:vAlign w:val="center"/>
          </w:tcPr>
          <w:p>
            <w:pPr>
              <w:widowControl/>
              <w:jc w:val="left"/>
              <w:rPr>
                <w:rFonts w:ascii="宋体" w:cs="宋体"/>
                <w:b/>
                <w:bCs/>
                <w:kern w:val="0"/>
                <w:sz w:val="18"/>
                <w:szCs w:val="18"/>
              </w:rPr>
            </w:pPr>
            <w:r>
              <w:rPr>
                <w:rFonts w:ascii="宋体" w:cs="宋体"/>
                <w:b/>
                <w:bCs/>
                <w:kern w:val="0"/>
                <w:sz w:val="18"/>
                <w:szCs w:val="18"/>
              </w:rPr>
              <w:t>-</w:t>
            </w:r>
          </w:p>
        </w:tc>
        <w:tc>
          <w:tcPr>
            <w:tcW w:w="1242" w:type="dxa"/>
            <w:shd w:val="clear" w:color="auto" w:fill="D9D9D9"/>
            <w:vAlign w:val="center"/>
          </w:tcPr>
          <w:p>
            <w:pPr>
              <w:widowControl/>
              <w:jc w:val="right"/>
              <w:rPr>
                <w:rFonts w:ascii="宋体" w:cs="宋体"/>
                <w:b/>
                <w:bCs/>
                <w:kern w:val="0"/>
                <w:sz w:val="18"/>
                <w:szCs w:val="18"/>
              </w:rPr>
            </w:pPr>
            <w:r>
              <w:rPr>
                <w:rFonts w:ascii="宋体" w:hAnsi="宋体" w:cs="宋体"/>
                <w:b/>
                <w:bCs/>
                <w:kern w:val="0"/>
                <w:sz w:val="18"/>
                <w:szCs w:val="18"/>
              </w:rPr>
              <w:t>843</w:t>
            </w:r>
            <w:r>
              <w:rPr>
                <w:rFonts w:ascii="宋体" w:cs="宋体"/>
                <w:b/>
                <w:bCs/>
                <w:kern w:val="0"/>
                <w:sz w:val="18"/>
                <w:szCs w:val="18"/>
              </w:rPr>
              <w:t>,</w:t>
            </w:r>
            <w:r>
              <w:rPr>
                <w:rFonts w:ascii="宋体" w:hAnsi="宋体" w:cs="宋体"/>
                <w:b/>
                <w:bCs/>
                <w:kern w:val="0"/>
                <w:sz w:val="18"/>
                <w:szCs w:val="18"/>
              </w:rPr>
              <w:t>5</w:t>
            </w:r>
            <w:r>
              <w:rPr>
                <w:rFonts w:ascii="宋体" w:cs="宋体"/>
                <w:b/>
                <w:bCs/>
                <w:kern w:val="0"/>
                <w:sz w:val="18"/>
                <w:szCs w:val="18"/>
              </w:rPr>
              <w:t>00</w:t>
            </w:r>
          </w:p>
        </w:tc>
        <w:tc>
          <w:tcPr>
            <w:tcW w:w="1213" w:type="dxa"/>
            <w:shd w:val="clear" w:color="auto" w:fill="D9D9D9"/>
            <w:vAlign w:val="center"/>
          </w:tcPr>
          <w:p>
            <w:pPr>
              <w:jc w:val="right"/>
              <w:rPr>
                <w:rFonts w:ascii="宋体" w:cs="Times New Roman"/>
                <w:b/>
                <w:bCs/>
                <w:kern w:val="0"/>
                <w:sz w:val="18"/>
                <w:szCs w:val="18"/>
              </w:rPr>
            </w:pPr>
            <w:r>
              <w:rPr>
                <w:rFonts w:ascii="宋体" w:hAnsi="宋体" w:cs="宋体"/>
                <w:b/>
                <w:bCs/>
                <w:kern w:val="0"/>
                <w:sz w:val="18"/>
                <w:szCs w:val="18"/>
              </w:rPr>
              <w:t>2,594,500</w:t>
            </w:r>
          </w:p>
        </w:tc>
        <w:tc>
          <w:tcPr>
            <w:tcW w:w="2557" w:type="dxa"/>
            <w:shd w:val="clear" w:color="auto" w:fill="D9D9D9"/>
            <w:vAlign w:val="center"/>
          </w:tcPr>
          <w:p>
            <w:pPr>
              <w:widowControl/>
              <w:jc w:val="left"/>
              <w:rPr>
                <w:rFonts w:ascii="宋体" w:cs="Times New Roman"/>
                <w:b/>
                <w:bCs/>
                <w:kern w:val="0"/>
                <w:sz w:val="18"/>
                <w:szCs w:val="18"/>
              </w:rPr>
            </w:pPr>
          </w:p>
        </w:tc>
      </w:tr>
    </w:tbl>
    <w:p>
      <w:pPr>
        <w:jc w:val="center"/>
        <w:rPr>
          <w:rStyle w:val="16"/>
          <w:rFonts w:ascii="黑体" w:hAnsi="黑体" w:eastAsia="黑体" w:cs="Times New Roman"/>
          <w:b w:val="0"/>
          <w:bCs w:val="0"/>
        </w:rPr>
      </w:pPr>
    </w:p>
    <w:p>
      <w:pPr>
        <w:jc w:val="center"/>
        <w:rPr>
          <w:rFonts w:ascii="仿宋" w:hAnsi="仿宋" w:eastAsia="仿宋" w:cs="Times New Roman"/>
          <w:sz w:val="28"/>
          <w:szCs w:val="28"/>
        </w:rPr>
      </w:pPr>
      <w:r>
        <w:rPr>
          <w:rStyle w:val="16"/>
          <w:rFonts w:hint="eastAsia" w:ascii="黑体" w:hAnsi="黑体" w:eastAsia="黑体" w:cs="黑体"/>
          <w:b w:val="0"/>
          <w:bCs w:val="0"/>
        </w:rPr>
        <w:t>附表</w:t>
      </w:r>
      <w:r>
        <w:rPr>
          <w:rStyle w:val="16"/>
          <w:rFonts w:ascii="黑体" w:hAnsi="黑体" w:eastAsia="黑体" w:cs="黑体"/>
          <w:b w:val="0"/>
          <w:bCs w:val="0"/>
        </w:rPr>
        <w:t xml:space="preserve">1-4  </w:t>
      </w:r>
      <w:r>
        <w:rPr>
          <w:rStyle w:val="16"/>
          <w:rFonts w:hint="eastAsia" w:ascii="黑体" w:hAnsi="黑体" w:eastAsia="黑体" w:cs="黑体"/>
          <w:b w:val="0"/>
          <w:bCs w:val="0"/>
        </w:rPr>
        <w:t>“十四五”龙岩市有色金属产业重点配套项目</w:t>
      </w:r>
      <w:r>
        <w:rPr>
          <w:rStyle w:val="16"/>
          <w:rFonts w:ascii="黑体" w:hAnsi="黑体" w:eastAsia="黑体" w:cs="黑体"/>
          <w:b w:val="0"/>
          <w:bCs w:val="0"/>
        </w:rPr>
        <w:t xml:space="preserve">    </w:t>
      </w:r>
      <w:r>
        <w:rPr>
          <w:rStyle w:val="16"/>
          <w:rFonts w:hint="eastAsia" w:ascii="黑体" w:hAnsi="黑体" w:eastAsia="黑体" w:cs="黑体"/>
          <w:b w:val="0"/>
          <w:bCs w:val="0"/>
        </w:rPr>
        <w:t>单位：亿元</w:t>
      </w:r>
    </w:p>
    <w:tbl>
      <w:tblPr>
        <w:tblW w:w="14174" w:type="dxa"/>
        <w:tblInd w:w="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710"/>
        <w:gridCol w:w="1943"/>
        <w:gridCol w:w="1749"/>
        <w:gridCol w:w="6974"/>
        <w:gridCol w:w="1151"/>
        <w:gridCol w:w="1647"/>
      </w:tblGrid>
      <w:tr>
        <w:trPr>
          <w:trHeight w:val="402" w:hRule="atLeast"/>
        </w:trPr>
        <w:tc>
          <w:tcPr>
            <w:tcW w:w="710" w:type="dxa"/>
            <w:vMerge w:val="restart"/>
            <w:tcBorders>
              <w:top w:val="single" w:color="auto" w:sz="4" w:space="0"/>
              <w:left w:val="single" w:color="auto" w:sz="4" w:space="0"/>
              <w:bottom w:val="single" w:color="auto" w:sz="4" w:space="0"/>
              <w:right w:val="single" w:color="auto" w:sz="4" w:space="0"/>
            </w:tcBorders>
            <w:shd w:val="clear" w:color="auto" w:fill="D9D9D9"/>
            <w:vAlign w:val="center"/>
          </w:tcPr>
          <w:p>
            <w:pPr>
              <w:widowControl/>
              <w:jc w:val="center"/>
              <w:rPr>
                <w:rFonts w:ascii="宋体" w:cs="Times New Roman"/>
                <w:b/>
                <w:bCs/>
                <w:color w:val="000000"/>
                <w:kern w:val="0"/>
                <w:sz w:val="18"/>
                <w:szCs w:val="18"/>
              </w:rPr>
            </w:pPr>
            <w:r>
              <w:rPr>
                <w:rFonts w:hint="eastAsia" w:ascii="宋体" w:hAnsi="宋体" w:cs="宋体"/>
                <w:b/>
                <w:bCs/>
                <w:color w:val="000000"/>
                <w:kern w:val="0"/>
                <w:sz w:val="18"/>
                <w:szCs w:val="18"/>
              </w:rPr>
              <w:t>序号</w:t>
            </w:r>
          </w:p>
        </w:tc>
        <w:tc>
          <w:tcPr>
            <w:tcW w:w="1943" w:type="dxa"/>
            <w:vMerge w:val="restart"/>
            <w:tcBorders>
              <w:top w:val="single" w:color="auto" w:sz="4" w:space="0"/>
              <w:left w:val="single" w:color="auto" w:sz="4" w:space="0"/>
              <w:bottom w:val="single" w:color="auto" w:sz="4" w:space="0"/>
              <w:right w:val="single" w:color="auto" w:sz="4" w:space="0"/>
            </w:tcBorders>
            <w:shd w:val="clear" w:color="auto" w:fill="D9D9D9"/>
            <w:vAlign w:val="center"/>
          </w:tcPr>
          <w:p>
            <w:pPr>
              <w:widowControl/>
              <w:jc w:val="center"/>
              <w:rPr>
                <w:rFonts w:ascii="宋体" w:cs="Times New Roman"/>
                <w:b/>
                <w:bCs/>
                <w:color w:val="000000"/>
                <w:kern w:val="0"/>
                <w:sz w:val="18"/>
                <w:szCs w:val="18"/>
              </w:rPr>
            </w:pPr>
            <w:r>
              <w:rPr>
                <w:rFonts w:hint="eastAsia" w:ascii="宋体" w:hAnsi="宋体" w:cs="宋体"/>
                <w:b/>
                <w:bCs/>
                <w:color w:val="000000"/>
                <w:kern w:val="0"/>
                <w:sz w:val="18"/>
                <w:szCs w:val="18"/>
              </w:rPr>
              <w:t>项目名称</w:t>
            </w:r>
          </w:p>
        </w:tc>
        <w:tc>
          <w:tcPr>
            <w:tcW w:w="1749" w:type="dxa"/>
            <w:vMerge w:val="restart"/>
            <w:tcBorders>
              <w:top w:val="single" w:color="auto" w:sz="4" w:space="0"/>
              <w:left w:val="single" w:color="auto" w:sz="4" w:space="0"/>
              <w:bottom w:val="single" w:color="auto" w:sz="4" w:space="0"/>
              <w:right w:val="single" w:color="auto" w:sz="4" w:space="0"/>
            </w:tcBorders>
            <w:shd w:val="clear" w:color="auto" w:fill="D9D9D9"/>
            <w:vAlign w:val="center"/>
          </w:tcPr>
          <w:p>
            <w:pPr>
              <w:widowControl/>
              <w:jc w:val="center"/>
              <w:rPr>
                <w:rFonts w:ascii="宋体" w:cs="Times New Roman"/>
                <w:b/>
                <w:bCs/>
                <w:color w:val="000000"/>
                <w:kern w:val="0"/>
                <w:sz w:val="18"/>
                <w:szCs w:val="18"/>
              </w:rPr>
            </w:pPr>
            <w:r>
              <w:rPr>
                <w:rFonts w:hint="eastAsia" w:ascii="宋体" w:hAnsi="宋体" w:cs="宋体"/>
                <w:b/>
                <w:bCs/>
                <w:color w:val="000000"/>
                <w:kern w:val="0"/>
                <w:sz w:val="18"/>
                <w:szCs w:val="18"/>
              </w:rPr>
              <w:t>依托企业或招商企业名称</w:t>
            </w:r>
          </w:p>
        </w:tc>
        <w:tc>
          <w:tcPr>
            <w:tcW w:w="6974" w:type="dxa"/>
            <w:vMerge w:val="restart"/>
            <w:tcBorders>
              <w:top w:val="single" w:color="auto" w:sz="4" w:space="0"/>
              <w:left w:val="single" w:color="auto" w:sz="4" w:space="0"/>
              <w:bottom w:val="single" w:color="auto" w:sz="4" w:space="0"/>
              <w:right w:val="single" w:color="auto" w:sz="4" w:space="0"/>
            </w:tcBorders>
            <w:shd w:val="clear" w:color="auto" w:fill="D9D9D9"/>
            <w:vAlign w:val="center"/>
          </w:tcPr>
          <w:p>
            <w:pPr>
              <w:widowControl/>
              <w:jc w:val="center"/>
              <w:rPr>
                <w:rFonts w:ascii="宋体" w:cs="Times New Roman"/>
                <w:b/>
                <w:bCs/>
                <w:color w:val="000000"/>
                <w:kern w:val="0"/>
                <w:sz w:val="18"/>
                <w:szCs w:val="18"/>
              </w:rPr>
            </w:pPr>
            <w:r>
              <w:rPr>
                <w:rFonts w:hint="eastAsia" w:ascii="宋体" w:hAnsi="宋体" w:cs="宋体"/>
                <w:b/>
                <w:bCs/>
                <w:color w:val="000000"/>
                <w:kern w:val="0"/>
                <w:sz w:val="18"/>
                <w:szCs w:val="18"/>
              </w:rPr>
              <w:t>主要建设内容和规模</w:t>
            </w:r>
          </w:p>
        </w:tc>
        <w:tc>
          <w:tcPr>
            <w:tcW w:w="1151" w:type="dxa"/>
            <w:vMerge w:val="restart"/>
            <w:tcBorders>
              <w:top w:val="single" w:color="auto" w:sz="4" w:space="0"/>
              <w:left w:val="single" w:color="auto" w:sz="4" w:space="0"/>
              <w:bottom w:val="single" w:color="auto" w:sz="4" w:space="0"/>
              <w:right w:val="single" w:color="auto" w:sz="4" w:space="0"/>
            </w:tcBorders>
            <w:shd w:val="clear" w:color="auto" w:fill="D9D9D9"/>
            <w:vAlign w:val="center"/>
          </w:tcPr>
          <w:p>
            <w:pPr>
              <w:widowControl/>
              <w:jc w:val="center"/>
              <w:rPr>
                <w:rFonts w:ascii="宋体" w:cs="Times New Roman"/>
                <w:b/>
                <w:bCs/>
                <w:color w:val="000000"/>
                <w:kern w:val="0"/>
                <w:sz w:val="18"/>
                <w:szCs w:val="18"/>
              </w:rPr>
            </w:pPr>
            <w:r>
              <w:rPr>
                <w:rFonts w:hint="eastAsia" w:ascii="宋体" w:hAnsi="宋体" w:cs="宋体"/>
                <w:b/>
                <w:bCs/>
                <w:color w:val="000000"/>
                <w:kern w:val="0"/>
                <w:sz w:val="18"/>
                <w:szCs w:val="18"/>
              </w:rPr>
              <w:t>总投资</w:t>
            </w:r>
            <w:r>
              <w:rPr>
                <w:rFonts w:ascii="宋体" w:cs="Times New Roman"/>
                <w:b/>
                <w:bCs/>
                <w:color w:val="000000"/>
                <w:kern w:val="0"/>
                <w:sz w:val="18"/>
                <w:szCs w:val="18"/>
              </w:rPr>
              <w:br/>
            </w:r>
            <w:r>
              <w:rPr>
                <w:rFonts w:hint="eastAsia" w:ascii="宋体" w:hAnsi="宋体" w:cs="宋体"/>
                <w:b/>
                <w:bCs/>
                <w:color w:val="000000"/>
                <w:kern w:val="0"/>
                <w:sz w:val="18"/>
                <w:szCs w:val="18"/>
              </w:rPr>
              <w:t>（亿元）</w:t>
            </w:r>
          </w:p>
        </w:tc>
        <w:tc>
          <w:tcPr>
            <w:tcW w:w="1647" w:type="dxa"/>
            <w:vMerge w:val="restart"/>
            <w:tcBorders>
              <w:top w:val="single" w:color="auto" w:sz="4" w:space="0"/>
              <w:left w:val="nil"/>
              <w:right w:val="single" w:color="auto" w:sz="4" w:space="0"/>
            </w:tcBorders>
            <w:shd w:val="clear" w:color="auto" w:fill="D9D9D9"/>
            <w:vAlign w:val="center"/>
          </w:tcPr>
          <w:p>
            <w:pPr>
              <w:jc w:val="left"/>
              <w:rPr>
                <w:rFonts w:ascii="宋体" w:cs="Times New Roman"/>
                <w:b/>
                <w:bCs/>
                <w:color w:val="000000"/>
                <w:kern w:val="0"/>
                <w:sz w:val="18"/>
                <w:szCs w:val="18"/>
              </w:rPr>
            </w:pPr>
            <w:r>
              <w:rPr>
                <w:rFonts w:hint="eastAsia" w:ascii="宋体" w:hAnsi="宋体" w:cs="宋体"/>
                <w:b/>
                <w:bCs/>
                <w:color w:val="000000"/>
                <w:kern w:val="0"/>
                <w:sz w:val="18"/>
                <w:szCs w:val="18"/>
              </w:rPr>
              <w:t>建设地点</w:t>
            </w:r>
          </w:p>
        </w:tc>
      </w:tr>
      <w:tr>
        <w:trPr>
          <w:trHeight w:val="312" w:hRule="atLeast"/>
        </w:trPr>
        <w:tc>
          <w:tcPr>
            <w:tcW w:w="710"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Times New Roman"/>
                <w:b/>
                <w:bCs/>
                <w:color w:val="000000"/>
                <w:kern w:val="0"/>
                <w:sz w:val="18"/>
                <w:szCs w:val="18"/>
              </w:rPr>
            </w:pPr>
          </w:p>
        </w:tc>
        <w:tc>
          <w:tcPr>
            <w:tcW w:w="194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cs="Times New Roman"/>
                <w:b/>
                <w:bCs/>
                <w:color w:val="000000"/>
                <w:kern w:val="0"/>
                <w:sz w:val="18"/>
                <w:szCs w:val="18"/>
              </w:rPr>
            </w:pPr>
          </w:p>
        </w:tc>
        <w:tc>
          <w:tcPr>
            <w:tcW w:w="174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cs="Times New Roman"/>
                <w:b/>
                <w:bCs/>
                <w:color w:val="000000"/>
                <w:kern w:val="0"/>
                <w:sz w:val="18"/>
                <w:szCs w:val="18"/>
              </w:rPr>
            </w:pPr>
          </w:p>
        </w:tc>
        <w:tc>
          <w:tcPr>
            <w:tcW w:w="697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cs="Times New Roman"/>
                <w:b/>
                <w:bCs/>
                <w:color w:val="000000"/>
                <w:kern w:val="0"/>
                <w:sz w:val="18"/>
                <w:szCs w:val="18"/>
              </w:rPr>
            </w:pPr>
          </w:p>
        </w:tc>
        <w:tc>
          <w:tcPr>
            <w:tcW w:w="115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cs="Times New Roman"/>
                <w:b/>
                <w:bCs/>
                <w:color w:val="000000"/>
                <w:kern w:val="0"/>
                <w:sz w:val="18"/>
                <w:szCs w:val="18"/>
              </w:rPr>
            </w:pPr>
          </w:p>
        </w:tc>
        <w:tc>
          <w:tcPr>
            <w:tcW w:w="1647" w:type="dxa"/>
            <w:vMerge w:val="continue"/>
            <w:tcBorders>
              <w:left w:val="single" w:color="auto" w:sz="4" w:space="0"/>
              <w:bottom w:val="nil"/>
              <w:right w:val="single" w:color="auto" w:sz="4" w:space="0"/>
            </w:tcBorders>
            <w:vAlign w:val="center"/>
          </w:tcPr>
          <w:p>
            <w:pPr>
              <w:widowControl/>
              <w:jc w:val="left"/>
              <w:rPr>
                <w:rFonts w:ascii="宋体" w:cs="Times New Roman"/>
                <w:color w:val="000000"/>
                <w:kern w:val="0"/>
                <w:sz w:val="18"/>
                <w:szCs w:val="18"/>
              </w:rPr>
            </w:pPr>
          </w:p>
        </w:tc>
      </w:tr>
      <w:tr>
        <w:trPr>
          <w:trHeight w:val="1075" w:hRule="atLeast"/>
        </w:trPr>
        <w:tc>
          <w:tcPr>
            <w:tcW w:w="710" w:type="dxa"/>
            <w:tcBorders>
              <w:top w:val="nil"/>
              <w:left w:val="single" w:color="auto" w:sz="4" w:space="0"/>
              <w:bottom w:val="single" w:color="auto" w:sz="4" w:space="0"/>
              <w:right w:val="single" w:color="auto" w:sz="4" w:space="0"/>
            </w:tcBorders>
            <w:shd w:val="clear" w:color="auto" w:fill="D9D9D9"/>
            <w:vAlign w:val="center"/>
          </w:tcPr>
          <w:p>
            <w:pPr>
              <w:widowControl/>
              <w:jc w:val="center"/>
              <w:rPr>
                <w:rFonts w:ascii="宋体" w:cs="Times New Roman"/>
                <w:b/>
                <w:bCs/>
                <w:color w:val="000000"/>
                <w:kern w:val="0"/>
                <w:sz w:val="18"/>
                <w:szCs w:val="18"/>
              </w:rPr>
            </w:pPr>
            <w:r>
              <w:rPr>
                <w:rFonts w:ascii="宋体" w:hAnsi="宋体" w:cs="宋体"/>
                <w:b/>
                <w:bCs/>
                <w:color w:val="000000"/>
                <w:kern w:val="0"/>
                <w:sz w:val="18"/>
                <w:szCs w:val="18"/>
              </w:rPr>
              <w:t>1</w:t>
            </w:r>
          </w:p>
        </w:tc>
        <w:tc>
          <w:tcPr>
            <w:tcW w:w="1943" w:type="dxa"/>
            <w:tcBorders>
              <w:top w:val="nil"/>
              <w:left w:val="nil"/>
              <w:bottom w:val="single" w:color="auto" w:sz="4" w:space="0"/>
              <w:right w:val="single" w:color="auto" w:sz="4" w:space="0"/>
            </w:tcBorders>
            <w:vAlign w:val="center"/>
          </w:tcPr>
          <w:p>
            <w:pPr>
              <w:widowControl/>
              <w:jc w:val="left"/>
              <w:rPr>
                <w:rFonts w:ascii="宋体" w:cs="Times New Roman"/>
                <w:color w:val="000000"/>
                <w:kern w:val="0"/>
                <w:sz w:val="18"/>
                <w:szCs w:val="18"/>
              </w:rPr>
            </w:pPr>
            <w:r>
              <w:rPr>
                <w:rFonts w:hint="eastAsia" w:ascii="宋体" w:hAnsi="宋体" w:cs="宋体"/>
                <w:color w:val="000000"/>
                <w:kern w:val="0"/>
                <w:sz w:val="18"/>
                <w:szCs w:val="18"/>
              </w:rPr>
              <w:t>上杭金铜新材料循环产业园项目</w:t>
            </w:r>
          </w:p>
        </w:tc>
        <w:tc>
          <w:tcPr>
            <w:tcW w:w="1749" w:type="dxa"/>
            <w:tcBorders>
              <w:top w:val="nil"/>
              <w:left w:val="nil"/>
              <w:bottom w:val="single" w:color="auto" w:sz="4" w:space="0"/>
              <w:right w:val="single" w:color="auto" w:sz="4" w:space="0"/>
            </w:tcBorders>
            <w:vAlign w:val="center"/>
          </w:tcPr>
          <w:p>
            <w:pPr>
              <w:widowControl/>
              <w:jc w:val="left"/>
              <w:rPr>
                <w:rFonts w:ascii="宋体" w:cs="Times New Roman"/>
                <w:color w:val="000000"/>
                <w:kern w:val="0"/>
                <w:sz w:val="18"/>
                <w:szCs w:val="18"/>
              </w:rPr>
            </w:pPr>
            <w:r>
              <w:rPr>
                <w:rFonts w:hint="eastAsia" w:ascii="宋体" w:hAnsi="宋体" w:cs="宋体"/>
                <w:color w:val="000000"/>
                <w:kern w:val="0"/>
                <w:sz w:val="18"/>
                <w:szCs w:val="18"/>
              </w:rPr>
              <w:t>紫金矿业集团有限公司</w:t>
            </w:r>
          </w:p>
        </w:tc>
        <w:tc>
          <w:tcPr>
            <w:tcW w:w="6974" w:type="dxa"/>
            <w:tcBorders>
              <w:top w:val="nil"/>
              <w:left w:val="nil"/>
              <w:bottom w:val="single" w:color="auto" w:sz="4" w:space="0"/>
              <w:right w:val="single" w:color="auto" w:sz="4" w:space="0"/>
            </w:tcBorders>
            <w:vAlign w:val="center"/>
          </w:tcPr>
          <w:p>
            <w:pPr>
              <w:widowControl/>
              <w:spacing w:line="260" w:lineRule="exact"/>
              <w:jc w:val="left"/>
              <w:rPr>
                <w:rFonts w:ascii="宋体" w:cs="Times New Roman"/>
                <w:color w:val="000000"/>
                <w:kern w:val="0"/>
                <w:sz w:val="18"/>
                <w:szCs w:val="18"/>
              </w:rPr>
            </w:pPr>
            <w:r>
              <w:rPr>
                <w:rFonts w:hint="eastAsia" w:ascii="宋体" w:hAnsi="宋体" w:cs="宋体"/>
                <w:color w:val="000000"/>
                <w:kern w:val="0"/>
                <w:sz w:val="18"/>
                <w:szCs w:val="18"/>
              </w:rPr>
              <w:t>项目预计总投资</w:t>
            </w:r>
            <w:r>
              <w:rPr>
                <w:rFonts w:ascii="宋体" w:hAnsi="宋体" w:cs="宋体"/>
                <w:color w:val="000000"/>
                <w:kern w:val="0"/>
                <w:sz w:val="18"/>
                <w:szCs w:val="18"/>
              </w:rPr>
              <w:t>186</w:t>
            </w:r>
            <w:r>
              <w:rPr>
                <w:rFonts w:hint="eastAsia" w:ascii="宋体" w:hAnsi="宋体" w:cs="宋体"/>
                <w:color w:val="000000"/>
                <w:kern w:val="0"/>
                <w:sz w:val="18"/>
                <w:szCs w:val="18"/>
              </w:rPr>
              <w:t>亿元，占地约</w:t>
            </w:r>
            <w:r>
              <w:rPr>
                <w:rFonts w:ascii="宋体" w:hAnsi="宋体" w:cs="宋体"/>
                <w:color w:val="000000"/>
                <w:kern w:val="0"/>
                <w:sz w:val="18"/>
                <w:szCs w:val="18"/>
              </w:rPr>
              <w:t>4000</w:t>
            </w:r>
            <w:r>
              <w:rPr>
                <w:rFonts w:hint="eastAsia" w:ascii="宋体" w:hAnsi="宋体" w:cs="宋体"/>
                <w:color w:val="000000"/>
                <w:kern w:val="0"/>
                <w:sz w:val="18"/>
                <w:szCs w:val="18"/>
              </w:rPr>
              <w:t>亩，规划金铜产业及机械装备加工区、产业配套区、创新研发区、</w:t>
            </w:r>
            <w:r>
              <w:rPr>
                <w:rFonts w:hint="eastAsia" w:ascii="宋体" w:hAnsi="宋体" w:cs="宋体"/>
                <w:kern w:val="0"/>
                <w:sz w:val="18"/>
                <w:szCs w:val="18"/>
              </w:rPr>
              <w:t>表面处理</w:t>
            </w:r>
            <w:r>
              <w:rPr>
                <w:rFonts w:hint="eastAsia" w:ascii="宋体" w:hAnsi="宋体" w:cs="宋体"/>
                <w:color w:val="000000"/>
                <w:kern w:val="0"/>
                <w:sz w:val="18"/>
                <w:szCs w:val="18"/>
              </w:rPr>
              <w:t>区、废水处理区、集中供热区以及园区市政配套设施。项目建成后，预计实现年产值</w:t>
            </w:r>
            <w:r>
              <w:rPr>
                <w:rFonts w:ascii="宋体" w:hAnsi="宋体" w:cs="宋体"/>
                <w:color w:val="000000"/>
                <w:kern w:val="0"/>
                <w:sz w:val="18"/>
                <w:szCs w:val="18"/>
              </w:rPr>
              <w:t>500</w:t>
            </w:r>
            <w:r>
              <w:rPr>
                <w:rFonts w:hint="eastAsia" w:ascii="宋体" w:hAnsi="宋体" w:cs="宋体"/>
                <w:color w:val="000000"/>
                <w:kern w:val="0"/>
                <w:sz w:val="18"/>
                <w:szCs w:val="18"/>
              </w:rPr>
              <w:t>亿元以上，年上缴税收</w:t>
            </w:r>
            <w:r>
              <w:rPr>
                <w:rFonts w:ascii="宋体" w:hAnsi="宋体" w:cs="宋体"/>
                <w:color w:val="000000"/>
                <w:kern w:val="0"/>
                <w:sz w:val="18"/>
                <w:szCs w:val="18"/>
              </w:rPr>
              <w:t>30</w:t>
            </w:r>
            <w:r>
              <w:rPr>
                <w:rFonts w:hint="eastAsia" w:ascii="宋体" w:hAnsi="宋体" w:cs="宋体"/>
                <w:color w:val="000000"/>
                <w:kern w:val="0"/>
                <w:sz w:val="18"/>
                <w:szCs w:val="18"/>
              </w:rPr>
              <w:t>亿元以上。项目计划分三期建设（</w:t>
            </w:r>
            <w:r>
              <w:rPr>
                <w:rFonts w:ascii="宋体" w:hAnsi="宋体" w:cs="宋体"/>
                <w:color w:val="000000"/>
                <w:kern w:val="0"/>
                <w:sz w:val="18"/>
                <w:szCs w:val="18"/>
              </w:rPr>
              <w:t>2021-2025</w:t>
            </w:r>
            <w:r>
              <w:rPr>
                <w:rFonts w:hint="eastAsia" w:ascii="宋体" w:hAnsi="宋体" w:cs="宋体"/>
                <w:color w:val="000000"/>
                <w:kern w:val="0"/>
                <w:sz w:val="18"/>
                <w:szCs w:val="18"/>
              </w:rPr>
              <w:t>）。</w:t>
            </w:r>
          </w:p>
        </w:tc>
        <w:tc>
          <w:tcPr>
            <w:tcW w:w="1151" w:type="dxa"/>
            <w:tcBorders>
              <w:top w:val="nil"/>
              <w:left w:val="nil"/>
              <w:bottom w:val="single" w:color="auto" w:sz="4" w:space="0"/>
              <w:right w:val="single" w:color="auto" w:sz="4" w:space="0"/>
            </w:tcBorders>
            <w:vAlign w:val="center"/>
          </w:tcPr>
          <w:p>
            <w:pPr>
              <w:widowControl/>
              <w:jc w:val="center"/>
              <w:rPr>
                <w:rFonts w:ascii="宋体" w:cs="Times New Roman"/>
                <w:kern w:val="0"/>
                <w:sz w:val="18"/>
                <w:szCs w:val="18"/>
              </w:rPr>
            </w:pPr>
            <w:r>
              <w:rPr>
                <w:rFonts w:ascii="宋体" w:hAnsi="宋体" w:cs="宋体"/>
                <w:kern w:val="0"/>
                <w:sz w:val="18"/>
                <w:szCs w:val="18"/>
              </w:rPr>
              <w:t>186</w:t>
            </w:r>
          </w:p>
        </w:tc>
        <w:tc>
          <w:tcPr>
            <w:tcW w:w="1647" w:type="dxa"/>
            <w:tcBorders>
              <w:top w:val="single" w:color="auto" w:sz="4" w:space="0"/>
              <w:left w:val="nil"/>
              <w:bottom w:val="single" w:color="auto" w:sz="4" w:space="0"/>
              <w:right w:val="single" w:color="auto" w:sz="4" w:space="0"/>
            </w:tcBorders>
            <w:vAlign w:val="center"/>
          </w:tcPr>
          <w:p>
            <w:pPr>
              <w:widowControl/>
              <w:jc w:val="left"/>
              <w:rPr>
                <w:rFonts w:ascii="宋体" w:cs="Times New Roman"/>
                <w:kern w:val="0"/>
                <w:sz w:val="18"/>
                <w:szCs w:val="18"/>
              </w:rPr>
            </w:pPr>
            <w:r>
              <w:rPr>
                <w:rFonts w:hint="eastAsia" w:ascii="宋体" w:hAnsi="宋体" w:cs="宋体"/>
                <w:kern w:val="0"/>
                <w:sz w:val="18"/>
                <w:szCs w:val="18"/>
              </w:rPr>
              <w:t>上杭县工业园区</w:t>
            </w:r>
          </w:p>
        </w:tc>
      </w:tr>
      <w:tr>
        <w:trPr>
          <w:trHeight w:val="124" w:hRule="atLeast"/>
        </w:trPr>
        <w:tc>
          <w:tcPr>
            <w:tcW w:w="710" w:type="dxa"/>
            <w:tcBorders>
              <w:top w:val="nil"/>
              <w:left w:val="single" w:color="auto" w:sz="4" w:space="0"/>
              <w:bottom w:val="single" w:color="auto" w:sz="4" w:space="0"/>
              <w:right w:val="single" w:color="auto" w:sz="4" w:space="0"/>
            </w:tcBorders>
            <w:shd w:val="clear" w:color="auto" w:fill="D9D9D9"/>
            <w:vAlign w:val="center"/>
          </w:tcPr>
          <w:p>
            <w:pPr>
              <w:widowControl/>
              <w:jc w:val="center"/>
              <w:rPr>
                <w:rFonts w:ascii="宋体" w:cs="Times New Roman"/>
                <w:b/>
                <w:bCs/>
                <w:color w:val="000000"/>
                <w:kern w:val="0"/>
                <w:sz w:val="18"/>
                <w:szCs w:val="18"/>
              </w:rPr>
            </w:pPr>
            <w:r>
              <w:rPr>
                <w:rFonts w:ascii="宋体" w:hAnsi="宋体" w:cs="宋体"/>
                <w:b/>
                <w:bCs/>
                <w:color w:val="000000"/>
                <w:kern w:val="0"/>
                <w:sz w:val="18"/>
                <w:szCs w:val="18"/>
              </w:rPr>
              <w:t>2</w:t>
            </w:r>
          </w:p>
        </w:tc>
        <w:tc>
          <w:tcPr>
            <w:tcW w:w="1943" w:type="dxa"/>
            <w:tcBorders>
              <w:top w:val="nil"/>
              <w:left w:val="nil"/>
              <w:bottom w:val="single" w:color="auto" w:sz="4" w:space="0"/>
              <w:right w:val="single" w:color="auto" w:sz="4" w:space="0"/>
            </w:tcBorders>
            <w:vAlign w:val="center"/>
          </w:tcPr>
          <w:p>
            <w:pPr>
              <w:widowControl/>
              <w:jc w:val="left"/>
              <w:rPr>
                <w:rFonts w:ascii="宋体" w:cs="Times New Roman"/>
                <w:color w:val="000000"/>
                <w:kern w:val="0"/>
                <w:sz w:val="18"/>
                <w:szCs w:val="18"/>
              </w:rPr>
            </w:pPr>
            <w:r>
              <w:rPr>
                <w:rFonts w:hint="eastAsia" w:ascii="宋体" w:hAnsi="宋体" w:cs="宋体"/>
                <w:color w:val="000000"/>
                <w:kern w:val="0"/>
                <w:sz w:val="18"/>
                <w:szCs w:val="18"/>
              </w:rPr>
              <w:t>福建上杭新材料科创谷建设项目</w:t>
            </w:r>
          </w:p>
        </w:tc>
        <w:tc>
          <w:tcPr>
            <w:tcW w:w="1749" w:type="dxa"/>
            <w:tcBorders>
              <w:top w:val="nil"/>
              <w:left w:val="nil"/>
              <w:bottom w:val="single" w:color="auto" w:sz="4" w:space="0"/>
              <w:right w:val="single" w:color="auto" w:sz="4" w:space="0"/>
            </w:tcBorders>
            <w:vAlign w:val="center"/>
          </w:tcPr>
          <w:p>
            <w:pPr>
              <w:widowControl/>
              <w:jc w:val="left"/>
              <w:rPr>
                <w:rFonts w:ascii="宋体" w:cs="Times New Roman"/>
                <w:color w:val="000000"/>
                <w:kern w:val="0"/>
                <w:sz w:val="18"/>
                <w:szCs w:val="18"/>
              </w:rPr>
            </w:pPr>
            <w:r>
              <w:rPr>
                <w:rFonts w:hint="eastAsia" w:ascii="宋体" w:hAnsi="宋体" w:cs="宋体"/>
                <w:color w:val="000000"/>
                <w:kern w:val="0"/>
                <w:sz w:val="18"/>
                <w:szCs w:val="18"/>
              </w:rPr>
              <w:t>龙岩</w:t>
            </w:r>
          </w:p>
        </w:tc>
        <w:tc>
          <w:tcPr>
            <w:tcW w:w="6974" w:type="dxa"/>
            <w:tcBorders>
              <w:top w:val="nil"/>
              <w:left w:val="nil"/>
              <w:bottom w:val="single" w:color="auto" w:sz="4" w:space="0"/>
              <w:right w:val="single" w:color="auto" w:sz="4" w:space="0"/>
            </w:tcBorders>
            <w:vAlign w:val="center"/>
          </w:tcPr>
          <w:p>
            <w:pPr>
              <w:widowControl/>
              <w:spacing w:line="260" w:lineRule="exact"/>
              <w:jc w:val="left"/>
              <w:rPr>
                <w:rFonts w:ascii="宋体" w:cs="Times New Roman"/>
                <w:color w:val="000000"/>
                <w:kern w:val="0"/>
                <w:sz w:val="18"/>
                <w:szCs w:val="18"/>
              </w:rPr>
            </w:pPr>
            <w:r>
              <w:rPr>
                <w:rFonts w:hint="eastAsia" w:ascii="宋体" w:hAnsi="宋体" w:cs="宋体"/>
                <w:color w:val="000000"/>
                <w:kern w:val="0"/>
                <w:sz w:val="18"/>
                <w:szCs w:val="18"/>
              </w:rPr>
              <w:t>项目总投资</w:t>
            </w:r>
            <w:r>
              <w:rPr>
                <w:rFonts w:ascii="宋体" w:hAnsi="宋体" w:cs="宋体"/>
                <w:color w:val="000000"/>
                <w:kern w:val="0"/>
                <w:sz w:val="18"/>
                <w:szCs w:val="18"/>
              </w:rPr>
              <w:t>168</w:t>
            </w:r>
            <w:r>
              <w:rPr>
                <w:rFonts w:hint="eastAsia" w:ascii="宋体" w:hAnsi="宋体" w:cs="宋体"/>
                <w:color w:val="000000"/>
                <w:kern w:val="0"/>
                <w:sz w:val="18"/>
                <w:szCs w:val="18"/>
              </w:rPr>
              <w:t>亿元，其中一期投资</w:t>
            </w:r>
            <w:r>
              <w:rPr>
                <w:rFonts w:ascii="宋体" w:hAnsi="宋体" w:cs="宋体"/>
                <w:color w:val="000000"/>
                <w:kern w:val="0"/>
                <w:sz w:val="18"/>
                <w:szCs w:val="18"/>
              </w:rPr>
              <w:t>50</w:t>
            </w:r>
            <w:r>
              <w:rPr>
                <w:rFonts w:hint="eastAsia" w:ascii="宋体" w:hAnsi="宋体" w:cs="宋体"/>
                <w:color w:val="000000"/>
                <w:kern w:val="0"/>
                <w:sz w:val="18"/>
                <w:szCs w:val="18"/>
              </w:rPr>
              <w:t>亿元，项目规划用地面积约</w:t>
            </w:r>
            <w:r>
              <w:rPr>
                <w:rFonts w:ascii="宋体" w:hAnsi="宋体" w:cs="宋体"/>
                <w:color w:val="000000"/>
                <w:kern w:val="0"/>
                <w:sz w:val="18"/>
                <w:szCs w:val="18"/>
              </w:rPr>
              <w:t>3000</w:t>
            </w:r>
            <w:r>
              <w:rPr>
                <w:rFonts w:hint="eastAsia" w:ascii="宋体" w:hAnsi="宋体" w:cs="宋体"/>
                <w:color w:val="000000"/>
                <w:kern w:val="0"/>
                <w:sz w:val="18"/>
                <w:szCs w:val="18"/>
              </w:rPr>
              <w:t>亩，主要建设内容包括土地平整、道路工程、桥涵、排水管线、绿化、照明及交通设施等。利用污水厂尾水新建再生水厂一座，围绕含氟材料、锂电池材料、电子化学材料等三大方向引进企业，年创产值</w:t>
            </w:r>
            <w:r>
              <w:rPr>
                <w:rFonts w:ascii="宋体" w:hAnsi="宋体" w:cs="宋体"/>
                <w:color w:val="000000"/>
                <w:kern w:val="0"/>
                <w:sz w:val="18"/>
                <w:szCs w:val="18"/>
              </w:rPr>
              <w:t>500</w:t>
            </w:r>
            <w:r>
              <w:rPr>
                <w:rFonts w:hint="eastAsia" w:ascii="宋体" w:hAnsi="宋体" w:cs="宋体"/>
                <w:color w:val="000000"/>
                <w:kern w:val="0"/>
                <w:sz w:val="18"/>
                <w:szCs w:val="18"/>
              </w:rPr>
              <w:t>亿元。按“产城高度融合”和“</w:t>
            </w:r>
            <w:r>
              <w:rPr>
                <w:rFonts w:ascii="宋体" w:hAnsi="宋体" w:cs="宋体"/>
                <w:color w:val="000000"/>
                <w:kern w:val="0"/>
                <w:sz w:val="18"/>
                <w:szCs w:val="18"/>
              </w:rPr>
              <w:t>5G</w:t>
            </w:r>
            <w:r>
              <w:rPr>
                <w:rFonts w:hint="eastAsia" w:ascii="宋体" w:hAnsi="宋体" w:cs="宋体"/>
                <w:color w:val="000000"/>
                <w:kern w:val="0"/>
                <w:sz w:val="18"/>
                <w:szCs w:val="18"/>
              </w:rPr>
              <w:t>智能化管理”建设理念，打造集研发与检测、生产制造、城市服务功能于一体的新材料专业科创基地。项目分三期建设。</w:t>
            </w:r>
          </w:p>
        </w:tc>
        <w:tc>
          <w:tcPr>
            <w:tcW w:w="1151" w:type="dxa"/>
            <w:tcBorders>
              <w:top w:val="nil"/>
              <w:left w:val="nil"/>
              <w:bottom w:val="single" w:color="auto" w:sz="4" w:space="0"/>
              <w:right w:val="single" w:color="auto" w:sz="4" w:space="0"/>
            </w:tcBorders>
            <w:vAlign w:val="center"/>
          </w:tcPr>
          <w:p>
            <w:pPr>
              <w:widowControl/>
              <w:jc w:val="center"/>
              <w:rPr>
                <w:rFonts w:ascii="宋体" w:cs="Times New Roman"/>
                <w:kern w:val="0"/>
                <w:sz w:val="18"/>
                <w:szCs w:val="18"/>
              </w:rPr>
            </w:pPr>
            <w:r>
              <w:rPr>
                <w:rFonts w:ascii="宋体" w:hAnsi="宋体" w:cs="宋体"/>
                <w:kern w:val="0"/>
                <w:sz w:val="18"/>
                <w:szCs w:val="18"/>
              </w:rPr>
              <w:t>168</w:t>
            </w:r>
          </w:p>
        </w:tc>
        <w:tc>
          <w:tcPr>
            <w:tcW w:w="1647" w:type="dxa"/>
            <w:tcBorders>
              <w:top w:val="nil"/>
              <w:left w:val="nil"/>
              <w:bottom w:val="single" w:color="auto" w:sz="4" w:space="0"/>
              <w:right w:val="single" w:color="auto" w:sz="4" w:space="0"/>
            </w:tcBorders>
            <w:vAlign w:val="center"/>
          </w:tcPr>
          <w:p>
            <w:pPr>
              <w:widowControl/>
              <w:jc w:val="left"/>
              <w:rPr>
                <w:rFonts w:ascii="宋体" w:cs="Times New Roman"/>
                <w:kern w:val="0"/>
                <w:sz w:val="18"/>
                <w:szCs w:val="18"/>
              </w:rPr>
            </w:pPr>
            <w:r>
              <w:rPr>
                <w:rFonts w:hint="eastAsia" w:ascii="宋体" w:hAnsi="宋体" w:cs="宋体"/>
                <w:kern w:val="0"/>
                <w:sz w:val="18"/>
                <w:szCs w:val="18"/>
              </w:rPr>
              <w:t>上杭县白砂镇</w:t>
            </w:r>
          </w:p>
        </w:tc>
      </w:tr>
    </w:tbl>
    <w:p>
      <w:pPr>
        <w:spacing w:line="560" w:lineRule="exact"/>
        <w:ind w:firstLine="31680" w:firstLineChars="200"/>
        <w:rPr>
          <w:rFonts w:ascii="仿宋" w:hAnsi="仿宋" w:eastAsia="仿宋" w:cs="Times New Roman"/>
          <w:sz w:val="28"/>
          <w:szCs w:val="28"/>
        </w:rPr>
      </w:pPr>
    </w:p>
    <w:p>
      <w:pPr>
        <w:spacing w:line="560" w:lineRule="exact"/>
        <w:ind w:firstLine="31680" w:firstLineChars="200"/>
        <w:rPr>
          <w:rFonts w:ascii="仿宋" w:hAnsi="仿宋" w:eastAsia="仿宋" w:cs="Times New Roman"/>
          <w:sz w:val="28"/>
          <w:szCs w:val="28"/>
        </w:rPr>
        <w:sectPr>
          <w:pgSz w:w="16838" w:h="11906" w:orient="landscape"/>
          <w:pgMar w:top="1797" w:right="1440" w:bottom="1797" w:left="1440" w:header="851" w:footer="992" w:gutter="0"/>
          <w:cols w:space="425" w:num="1"/>
          <w:docGrid w:type="linesAndChars" w:linePitch="312"/>
        </w:sectPr>
      </w:pPr>
    </w:p>
    <w:p>
      <w:pPr>
        <w:pStyle w:val="2"/>
        <w:spacing w:before="120" w:after="120" w:line="240" w:lineRule="auto"/>
        <w:rPr>
          <w:rFonts w:ascii="黑体" w:hAnsi="黑体" w:eastAsia="黑体" w:cs="Times New Roman"/>
          <w:b w:val="0"/>
          <w:bCs w:val="0"/>
          <w:sz w:val="28"/>
          <w:szCs w:val="28"/>
        </w:rPr>
      </w:pPr>
      <w:bookmarkStart w:id="60" w:name="_Toc69719630"/>
      <w:bookmarkStart w:id="61" w:name="_Toc70684673"/>
      <w:r>
        <w:rPr>
          <w:rFonts w:hint="eastAsia" w:ascii="黑体" w:hAnsi="黑体" w:eastAsia="黑体" w:cs="黑体"/>
          <w:b w:val="0"/>
          <w:bCs w:val="0"/>
          <w:sz w:val="28"/>
          <w:szCs w:val="28"/>
        </w:rPr>
        <w:t>附件二、专家评审意见</w:t>
      </w:r>
      <w:bookmarkEnd w:id="60"/>
      <w:bookmarkEnd w:id="61"/>
    </w:p>
    <w:p>
      <w:pPr>
        <w:widowControl/>
        <w:jc w:val="center"/>
        <w:rPr>
          <w:rFonts w:ascii="仿宋" w:hAnsi="仿宋" w:eastAsia="仿宋" w:cs="Times New Roman"/>
          <w:sz w:val="28"/>
          <w:szCs w:val="28"/>
        </w:rPr>
      </w:pPr>
      <w:r>
        <w:rPr>
          <w:rFonts w:ascii="仿宋" w:hAnsi="仿宋" w:eastAsia="仿宋" w:cs="Times New Roman"/>
          <w:kern w:val="2"/>
          <w:sz w:val="28"/>
          <w:szCs w:val="28"/>
          <w:lang w:val="en-US" w:eastAsia="zh-CN" w:bidi="ar-SA"/>
        </w:rPr>
        <w:pict>
          <v:shape id="图片 7" o:spid="_x0000_s1040" type="#_x0000_t75" style="height:628.5pt;width:411pt;rotation:0f;" o:ole="f" fillcolor="#FFFFFF" filled="f" o:preferrelative="t" stroked="f" coordorigin="0,0" coordsize="21600,21600">
            <v:fill on="f" color2="#FFFFFF" focus="0%"/>
            <v:imagedata gain="65536f" blacklevel="0f" gamma="0" o:title="" r:id="rId20"/>
            <o:lock v:ext="edit" position="f" selection="f" grouping="f" rotation="f" cropping="f" text="f" aspectratio="t"/>
            <w10:wrap type="none"/>
            <w10:anchorlock/>
          </v:shape>
        </w:pict>
      </w:r>
      <w:r>
        <w:rPr>
          <w:rFonts w:ascii="仿宋" w:hAnsi="仿宋" w:eastAsia="仿宋" w:cs="Times New Roman"/>
          <w:sz w:val="28"/>
          <w:szCs w:val="28"/>
        </w:rPr>
        <w:br w:type="page"/>
      </w:r>
    </w:p>
    <w:p>
      <w:pPr>
        <w:spacing w:line="560" w:lineRule="exact"/>
        <w:ind w:firstLine="31680" w:firstLineChars="200"/>
        <w:rPr>
          <w:rFonts w:ascii="仿宋" w:hAnsi="仿宋" w:eastAsia="仿宋" w:cs="Times New Roman"/>
          <w:b/>
          <w:bCs/>
          <w:sz w:val="28"/>
          <w:szCs w:val="28"/>
        </w:rPr>
      </w:pPr>
    </w:p>
    <w:p>
      <w:pPr>
        <w:spacing w:line="560" w:lineRule="exact"/>
        <w:ind w:firstLine="31680" w:firstLineChars="200"/>
        <w:rPr>
          <w:rFonts w:ascii="黑体" w:hAnsi="黑体" w:eastAsia="黑体" w:cs="Times New Roman"/>
          <w:sz w:val="28"/>
          <w:szCs w:val="28"/>
        </w:rPr>
      </w:pPr>
      <w:r>
        <w:rPr>
          <w:rFonts w:hint="eastAsia" w:ascii="黑体" w:hAnsi="黑体" w:eastAsia="黑体" w:cs="黑体"/>
          <w:sz w:val="28"/>
          <w:szCs w:val="28"/>
        </w:rPr>
        <w:t>评审专家组成员（共</w:t>
      </w:r>
      <w:r>
        <w:rPr>
          <w:rFonts w:ascii="黑体" w:hAnsi="黑体" w:eastAsia="黑体" w:cs="黑体"/>
          <w:sz w:val="28"/>
          <w:szCs w:val="28"/>
        </w:rPr>
        <w:t>5</w:t>
      </w:r>
      <w:r>
        <w:rPr>
          <w:rFonts w:hint="eastAsia" w:ascii="黑体" w:hAnsi="黑体" w:eastAsia="黑体" w:cs="黑体"/>
          <w:sz w:val="28"/>
          <w:szCs w:val="28"/>
        </w:rPr>
        <w:t>名）：</w:t>
      </w:r>
    </w:p>
    <w:p>
      <w:pPr>
        <w:spacing w:line="560" w:lineRule="exact"/>
        <w:ind w:firstLine="31680" w:firstLineChars="200"/>
        <w:rPr>
          <w:rFonts w:ascii="仿宋" w:hAnsi="仿宋" w:eastAsia="仿宋" w:cs="仿宋"/>
          <w:b/>
          <w:bCs/>
          <w:sz w:val="28"/>
          <w:szCs w:val="28"/>
        </w:rPr>
      </w:pPr>
      <w:r>
        <w:rPr>
          <w:rFonts w:hint="eastAsia" w:ascii="仿宋" w:hAnsi="仿宋" w:eastAsia="仿宋" w:cs="仿宋"/>
          <w:b/>
          <w:bCs/>
          <w:sz w:val="28"/>
          <w:szCs w:val="28"/>
        </w:rPr>
        <w:t>专家组组长</w:t>
      </w:r>
      <w:r>
        <w:rPr>
          <w:rFonts w:ascii="仿宋" w:hAnsi="仿宋" w:eastAsia="仿宋" w:cs="仿宋"/>
          <w:b/>
          <w:bCs/>
          <w:sz w:val="28"/>
          <w:szCs w:val="28"/>
        </w:rPr>
        <w:t xml:space="preserve">  </w:t>
      </w:r>
    </w:p>
    <w:p>
      <w:pPr>
        <w:spacing w:line="560" w:lineRule="exact"/>
        <w:ind w:firstLine="31680" w:firstLineChars="200"/>
        <w:rPr>
          <w:rFonts w:ascii="仿宋" w:hAnsi="仿宋" w:eastAsia="仿宋" w:cs="Times New Roman"/>
          <w:sz w:val="28"/>
          <w:szCs w:val="28"/>
        </w:rPr>
      </w:pPr>
      <w:r>
        <w:rPr>
          <w:rFonts w:hint="eastAsia" w:ascii="仿宋" w:hAnsi="仿宋" w:eastAsia="仿宋" w:cs="仿宋"/>
          <w:sz w:val="28"/>
          <w:szCs w:val="28"/>
        </w:rPr>
        <w:t>北京有色金属研究总院教授</w:t>
      </w:r>
      <w:r>
        <w:rPr>
          <w:rFonts w:ascii="仿宋" w:hAnsi="仿宋" w:eastAsia="仿宋" w:cs="仿宋"/>
          <w:sz w:val="28"/>
          <w:szCs w:val="28"/>
        </w:rPr>
        <w:t>/</w:t>
      </w:r>
      <w:r>
        <w:rPr>
          <w:rFonts w:hint="eastAsia" w:ascii="仿宋" w:hAnsi="仿宋" w:eastAsia="仿宋" w:cs="仿宋"/>
          <w:sz w:val="28"/>
          <w:szCs w:val="28"/>
        </w:rPr>
        <w:t>博士生导师</w:t>
      </w:r>
      <w:r>
        <w:rPr>
          <w:rFonts w:ascii="仿宋" w:hAnsi="仿宋" w:eastAsia="仿宋" w:cs="仿宋"/>
          <w:sz w:val="28"/>
          <w:szCs w:val="28"/>
        </w:rPr>
        <w:t xml:space="preserve">        </w:t>
      </w:r>
      <w:r>
        <w:rPr>
          <w:rFonts w:hint="eastAsia" w:ascii="仿宋" w:hAnsi="仿宋" w:eastAsia="仿宋" w:cs="仿宋"/>
          <w:sz w:val="28"/>
          <w:szCs w:val="28"/>
        </w:rPr>
        <w:t>谢水生</w:t>
      </w:r>
    </w:p>
    <w:p>
      <w:pPr>
        <w:spacing w:line="560" w:lineRule="exact"/>
        <w:ind w:firstLine="31680" w:firstLineChars="200"/>
        <w:rPr>
          <w:rFonts w:ascii="仿宋" w:hAnsi="仿宋" w:eastAsia="仿宋" w:cs="Times New Roman"/>
          <w:b/>
          <w:bCs/>
          <w:sz w:val="28"/>
          <w:szCs w:val="28"/>
        </w:rPr>
      </w:pPr>
      <w:r>
        <w:rPr>
          <w:rFonts w:hint="eastAsia" w:ascii="仿宋" w:hAnsi="仿宋" w:eastAsia="仿宋" w:cs="仿宋"/>
          <w:b/>
          <w:bCs/>
          <w:sz w:val="28"/>
          <w:szCs w:val="28"/>
        </w:rPr>
        <w:t>专家组组员：</w:t>
      </w:r>
    </w:p>
    <w:p>
      <w:pPr>
        <w:ind w:firstLine="557"/>
        <w:rPr>
          <w:rFonts w:ascii="仿宋" w:hAnsi="仿宋" w:eastAsia="仿宋" w:cs="Times New Roman"/>
          <w:sz w:val="28"/>
          <w:szCs w:val="28"/>
        </w:rPr>
      </w:pPr>
      <w:r>
        <w:rPr>
          <w:rFonts w:hint="eastAsia" w:ascii="仿宋" w:hAnsi="仿宋" w:eastAsia="仿宋" w:cs="仿宋"/>
          <w:sz w:val="28"/>
          <w:szCs w:val="28"/>
        </w:rPr>
        <w:t>中国有色金属工业协会重金属部主任</w:t>
      </w:r>
      <w:r>
        <w:rPr>
          <w:rFonts w:ascii="仿宋" w:hAnsi="仿宋" w:eastAsia="仿宋" w:cs="仿宋"/>
          <w:sz w:val="28"/>
          <w:szCs w:val="28"/>
        </w:rPr>
        <w:t xml:space="preserve">           </w:t>
      </w:r>
      <w:r>
        <w:rPr>
          <w:rFonts w:hint="eastAsia" w:ascii="仿宋" w:hAnsi="仿宋" w:eastAsia="仿宋" w:cs="仿宋"/>
          <w:sz w:val="28"/>
          <w:szCs w:val="28"/>
        </w:rPr>
        <w:t>段绍甫</w:t>
      </w:r>
    </w:p>
    <w:p>
      <w:pPr>
        <w:ind w:firstLine="557"/>
        <w:rPr>
          <w:rFonts w:ascii="仿宋" w:hAnsi="仿宋" w:eastAsia="仿宋" w:cs="Times New Roman"/>
          <w:sz w:val="28"/>
          <w:szCs w:val="28"/>
        </w:rPr>
      </w:pPr>
      <w:r>
        <w:rPr>
          <w:rFonts w:hint="eastAsia" w:ascii="仿宋" w:hAnsi="仿宋" w:eastAsia="仿宋" w:cs="仿宋"/>
          <w:sz w:val="28"/>
          <w:szCs w:val="28"/>
        </w:rPr>
        <w:t>紫金矿业集团冶炼加工事业部总经理</w:t>
      </w:r>
      <w:r>
        <w:rPr>
          <w:rFonts w:ascii="仿宋" w:hAnsi="仿宋" w:eastAsia="仿宋" w:cs="仿宋"/>
          <w:sz w:val="28"/>
          <w:szCs w:val="28"/>
        </w:rPr>
        <w:t xml:space="preserve">           </w:t>
      </w:r>
      <w:r>
        <w:rPr>
          <w:rFonts w:hint="eastAsia" w:ascii="仿宋" w:hAnsi="仿宋" w:eastAsia="仿宋" w:cs="仿宋"/>
          <w:sz w:val="28"/>
          <w:szCs w:val="28"/>
        </w:rPr>
        <w:t>廖元杭</w:t>
      </w:r>
    </w:p>
    <w:p>
      <w:pPr>
        <w:ind w:firstLine="557"/>
        <w:rPr>
          <w:rFonts w:ascii="仿宋" w:hAnsi="仿宋" w:eastAsia="仿宋" w:cs="Times New Roman"/>
          <w:sz w:val="28"/>
          <w:szCs w:val="28"/>
        </w:rPr>
      </w:pPr>
      <w:r>
        <w:rPr>
          <w:rFonts w:hint="eastAsia" w:ascii="仿宋" w:hAnsi="仿宋" w:eastAsia="仿宋" w:cs="仿宋"/>
          <w:sz w:val="28"/>
          <w:szCs w:val="28"/>
        </w:rPr>
        <w:t>龙岩市稀土开发公司总经理</w:t>
      </w:r>
      <w:r>
        <w:rPr>
          <w:rFonts w:ascii="仿宋" w:hAnsi="仿宋" w:eastAsia="仿宋" w:cs="仿宋"/>
          <w:sz w:val="28"/>
          <w:szCs w:val="28"/>
        </w:rPr>
        <w:t xml:space="preserve">                   </w:t>
      </w:r>
      <w:r>
        <w:rPr>
          <w:rFonts w:hint="eastAsia" w:ascii="仿宋" w:hAnsi="仿宋" w:eastAsia="仿宋" w:cs="仿宋"/>
          <w:sz w:val="28"/>
          <w:szCs w:val="28"/>
        </w:rPr>
        <w:t>刘文利</w:t>
      </w:r>
    </w:p>
    <w:p>
      <w:pPr>
        <w:ind w:firstLine="557"/>
        <w:rPr>
          <w:rFonts w:ascii="仿宋" w:hAnsi="仿宋" w:eastAsia="仿宋" w:cs="Times New Roman"/>
          <w:sz w:val="28"/>
          <w:szCs w:val="28"/>
        </w:rPr>
      </w:pPr>
      <w:r>
        <w:rPr>
          <w:rFonts w:hint="eastAsia" w:ascii="仿宋" w:hAnsi="仿宋" w:eastAsia="仿宋" w:cs="仿宋"/>
          <w:sz w:val="28"/>
          <w:szCs w:val="28"/>
        </w:rPr>
        <w:t>中国钨业协会副秘书长</w:t>
      </w:r>
      <w:r>
        <w:rPr>
          <w:rFonts w:ascii="仿宋" w:hAnsi="仿宋" w:eastAsia="仿宋" w:cs="仿宋"/>
          <w:sz w:val="28"/>
          <w:szCs w:val="28"/>
        </w:rPr>
        <w:t xml:space="preserve">                       </w:t>
      </w:r>
      <w:r>
        <w:rPr>
          <w:rFonts w:hint="eastAsia" w:ascii="仿宋" w:hAnsi="仿宋" w:eastAsia="仿宋" w:cs="仿宋"/>
          <w:sz w:val="28"/>
          <w:szCs w:val="28"/>
        </w:rPr>
        <w:t>余泽全</w:t>
      </w:r>
    </w:p>
    <w:p>
      <w:pPr>
        <w:spacing w:line="560" w:lineRule="exact"/>
        <w:ind w:firstLine="31680" w:firstLineChars="200"/>
        <w:rPr>
          <w:rFonts w:ascii="仿宋" w:hAnsi="仿宋" w:eastAsia="仿宋" w:cs="Times New Roman"/>
          <w:b/>
          <w:bCs/>
          <w:sz w:val="28"/>
          <w:szCs w:val="28"/>
        </w:rPr>
      </w:pPr>
    </w:p>
    <w:p>
      <w:pPr>
        <w:spacing w:line="560" w:lineRule="exact"/>
        <w:ind w:firstLine="31680" w:firstLineChars="200"/>
        <w:rPr>
          <w:rFonts w:ascii="仿宋" w:hAnsi="仿宋" w:eastAsia="仿宋" w:cs="Times New Roman"/>
          <w:b/>
          <w:bCs/>
          <w:sz w:val="28"/>
          <w:szCs w:val="28"/>
        </w:rPr>
      </w:pPr>
    </w:p>
    <w:sectPr>
      <w:pgSz w:w="11906" w:h="16838"/>
      <w:pgMar w:top="1440" w:right="1418" w:bottom="1440" w:left="1418" w:header="851" w:footer="992" w:gutter="0"/>
      <w:cols w:space="425" w:num="1"/>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Tahoma">
    <w:panose1 w:val="020B0604030504040204"/>
    <w:charset w:val="00"/>
    <w:family w:val="auto"/>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微软雅黑">
    <w:panose1 w:val="020B0503020204020204"/>
    <w:charset w:val="86"/>
    <w:family w:val="auto"/>
    <w:pitch w:val="default"/>
    <w:sig w:usb0="80000287" w:usb1="280F3C52" w:usb2="00000016" w:usb3="00000000" w:csb0="0004001F" w:csb1="00000000"/>
  </w:font>
  <w:font w:name="Calibri">
    <w:panose1 w:val="020F0502020204030204"/>
    <w:charset w:val="00"/>
    <w:family w:val="auto"/>
    <w:pitch w:val="default"/>
    <w:sig w:usb0="E00002FF" w:usb1="4000ACFF" w:usb2="00000001" w:usb3="00000000" w:csb0="2000019F" w:csb1="00000000"/>
  </w:font>
  <w:font w:name="Calibri Light">
    <w:panose1 w:val="020F0302020204030204"/>
    <w:charset w:val="00"/>
    <w:family w:val="auto"/>
    <w:pitch w:val="default"/>
    <w:sig w:usb0="A00002EF" w:usb1="4000207B" w:usb2="00000000" w:usb3="00000000" w:csb0="2000019F" w:csb1="00000000"/>
  </w:font>
  <w:font w:name="LF_Kai">
    <w:altName w:val="微软雅黑"/>
    <w:panose1 w:val="00000000000000000000"/>
    <w:charset w:val="86"/>
    <w:family w:val="auto"/>
    <w:pitch w:val="default"/>
    <w:sig w:usb0="00000001" w:usb1="080E0000" w:usb2="0000001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auto"/>
    <w:pitch w:val="default"/>
    <w:sig w:usb0="A10006FF" w:usb1="4000205B" w:usb2="00000010" w:usb3="00000000" w:csb0="2000019F" w:csb1="00000000"/>
  </w:font>
  <w:font w:name="公文小标宋简">
    <w:altName w:val="微软雅黑"/>
    <w:panose1 w:val="00000000000000000000"/>
    <w:charset w:val="86"/>
    <w:family w:val="auto"/>
    <w:pitch w:val="default"/>
    <w:sig w:usb0="00000001" w:usb1="080E0000" w:usb2="00000010" w:usb3="00000000" w:csb0="00040000" w:csb1="00000000"/>
  </w:font>
  <w:font w:name="楷体">
    <w:panose1 w:val="02010609060101010101"/>
    <w:charset w:val="86"/>
    <w:family w:val="auto"/>
    <w:pitch w:val="default"/>
    <w:sig w:usb0="800002BF" w:usb1="38CF7CFA" w:usb2="00000016" w:usb3="00000000" w:csb0="00040001" w:csb1="00000000"/>
  </w:font>
  <w:font w:name="华文仿宋">
    <w:altName w:val="仿宋"/>
    <w:panose1 w:val="02010600040101010101"/>
    <w:charset w:val="86"/>
    <w:family w:val="auto"/>
    <w:pitch w:val="default"/>
    <w:sig w:usb0="00000287" w:usb1="080F0000" w:usb2="00000010" w:usb3="00000000" w:csb0="0004009F" w:csb1="00000000"/>
  </w:font>
  <w:font w:name="等线">
    <w:altName w:val="宋体"/>
    <w:panose1 w:val="00000000000000000000"/>
    <w:charset w:val="86"/>
    <w:family w:val="auto"/>
    <w:pitch w:val="default"/>
    <w:sig w:usb0="00000001" w:usb1="080E0000" w:usb2="00000010" w:usb3="00000000" w:csb0="00040000" w:csb1="00000000"/>
  </w:font>
  <w:font w:name="仿宋_GB2312">
    <w:altName w:val="仿宋"/>
    <w:panose1 w:val="02010609030101010101"/>
    <w:charset w:val="86"/>
    <w:family w:val="auto"/>
    <w:pitch w:val="default"/>
    <w:sig w:usb0="00000001" w:usb1="080E0000" w:usb2="00000010" w:usb3="00000000" w:csb0="00040000" w:csb1="00000000"/>
  </w:font>
  <w:font w:name="华文楷体">
    <w:altName w:val="宋体"/>
    <w:panose1 w:val="02010600040101010101"/>
    <w:charset w:val="86"/>
    <w:family w:val="auto"/>
    <w:pitch w:val="default"/>
    <w:sig w:usb0="00000287" w:usb1="080F0000" w:usb2="00000010" w:usb3="00000000" w:csb0="0004009F" w:csb1="00000000"/>
  </w:font>
  <w:font w:name="Cambria">
    <w:panose1 w:val="02040503050406030204"/>
    <w:charset w:val="00"/>
    <w:family w:val="auto"/>
    <w:pitch w:val="default"/>
    <w:sig w:usb0="E00002FF" w:usb1="40000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0"/>
      <w:jc w:val="center"/>
      <w:rPr>
        <w:rFonts w:cs="Times New Roman"/>
      </w:rPr>
    </w:pPr>
    <w:r>
      <w:fldChar w:fldCharType="begin"/>
    </w:r>
    <w:r>
      <w:instrText xml:space="preserve">PAGE   \* MERGEFORMAT</w:instrText>
    </w:r>
    <w:r>
      <w:fldChar w:fldCharType="separate"/>
    </w:r>
    <w:r>
      <w:rPr>
        <w:lang w:val="zh-CN"/>
      </w:rPr>
      <w:t>77</w:t>
    </w:r>
    <w:r>
      <w:rPr>
        <w:lang w:val="zh-CN"/>
      </w:rPr>
      <w:fldChar w:fldCharType="end"/>
    </w:r>
  </w:p>
  <w:p>
    <w:pPr>
      <w:pStyle w:val="10"/>
      <w:rPr>
        <w:rFonts w:cs="Times New Roman"/>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769662083">
    <w:nsid w:val="2DE01C83"/>
    <w:multiLevelType w:val="multilevel"/>
    <w:tmpl w:val="2DE01C83"/>
    <w:lvl w:ilvl="0" w:tentative="1">
      <w:start w:val="1"/>
      <w:numFmt w:val="bullet"/>
      <w:lvlText w:val=""/>
      <w:lvlJc w:val="left"/>
      <w:pPr>
        <w:ind w:left="980" w:hanging="420"/>
      </w:pPr>
      <w:rPr>
        <w:rFonts w:hint="default" w:ascii="Wingdings" w:hAnsi="Wingdings" w:cs="Wingdings"/>
      </w:rPr>
    </w:lvl>
    <w:lvl w:ilvl="1" w:tentative="1">
      <w:start w:val="1"/>
      <w:numFmt w:val="bullet"/>
      <w:lvlText w:val=""/>
      <w:lvlJc w:val="left"/>
      <w:pPr>
        <w:ind w:left="1400" w:hanging="420"/>
      </w:pPr>
      <w:rPr>
        <w:rFonts w:hint="default" w:ascii="Wingdings" w:hAnsi="Wingdings" w:cs="Wingdings"/>
      </w:rPr>
    </w:lvl>
    <w:lvl w:ilvl="2" w:tentative="1">
      <w:start w:val="1"/>
      <w:numFmt w:val="bullet"/>
      <w:lvlText w:val=""/>
      <w:lvlJc w:val="left"/>
      <w:pPr>
        <w:ind w:left="1820" w:hanging="420"/>
      </w:pPr>
      <w:rPr>
        <w:rFonts w:hint="default" w:ascii="Wingdings" w:hAnsi="Wingdings" w:cs="Wingdings"/>
      </w:rPr>
    </w:lvl>
    <w:lvl w:ilvl="3" w:tentative="1">
      <w:start w:val="1"/>
      <w:numFmt w:val="bullet"/>
      <w:lvlText w:val=""/>
      <w:lvlJc w:val="left"/>
      <w:pPr>
        <w:ind w:left="2240" w:hanging="420"/>
      </w:pPr>
      <w:rPr>
        <w:rFonts w:hint="default" w:ascii="Wingdings" w:hAnsi="Wingdings" w:cs="Wingdings"/>
      </w:rPr>
    </w:lvl>
    <w:lvl w:ilvl="4" w:tentative="1">
      <w:start w:val="1"/>
      <w:numFmt w:val="bullet"/>
      <w:lvlText w:val=""/>
      <w:lvlJc w:val="left"/>
      <w:pPr>
        <w:ind w:left="2660" w:hanging="420"/>
      </w:pPr>
      <w:rPr>
        <w:rFonts w:hint="default" w:ascii="Wingdings" w:hAnsi="Wingdings" w:cs="Wingdings"/>
      </w:rPr>
    </w:lvl>
    <w:lvl w:ilvl="5" w:tentative="1">
      <w:start w:val="1"/>
      <w:numFmt w:val="bullet"/>
      <w:lvlText w:val=""/>
      <w:lvlJc w:val="left"/>
      <w:pPr>
        <w:ind w:left="3080" w:hanging="420"/>
      </w:pPr>
      <w:rPr>
        <w:rFonts w:hint="default" w:ascii="Wingdings" w:hAnsi="Wingdings" w:cs="Wingdings"/>
      </w:rPr>
    </w:lvl>
    <w:lvl w:ilvl="6" w:tentative="1">
      <w:start w:val="1"/>
      <w:numFmt w:val="bullet"/>
      <w:lvlText w:val=""/>
      <w:lvlJc w:val="left"/>
      <w:pPr>
        <w:ind w:left="3500" w:hanging="420"/>
      </w:pPr>
      <w:rPr>
        <w:rFonts w:hint="default" w:ascii="Wingdings" w:hAnsi="Wingdings" w:cs="Wingdings"/>
      </w:rPr>
    </w:lvl>
    <w:lvl w:ilvl="7" w:tentative="1">
      <w:start w:val="1"/>
      <w:numFmt w:val="bullet"/>
      <w:lvlText w:val=""/>
      <w:lvlJc w:val="left"/>
      <w:pPr>
        <w:ind w:left="3920" w:hanging="420"/>
      </w:pPr>
      <w:rPr>
        <w:rFonts w:hint="default" w:ascii="Wingdings" w:hAnsi="Wingdings" w:cs="Wingdings"/>
      </w:rPr>
    </w:lvl>
    <w:lvl w:ilvl="8" w:tentative="1">
      <w:start w:val="1"/>
      <w:numFmt w:val="bullet"/>
      <w:lvlText w:val=""/>
      <w:lvlJc w:val="left"/>
      <w:pPr>
        <w:ind w:left="4340" w:hanging="420"/>
      </w:pPr>
      <w:rPr>
        <w:rFonts w:hint="default" w:ascii="Wingdings" w:hAnsi="Wingdings" w:cs="Wingdings"/>
      </w:rPr>
    </w:lvl>
  </w:abstractNum>
  <w:abstractNum w:abstractNumId="18">
    <w:nsid w:val="00000012"/>
    <w:multiLevelType w:val="singleLevel"/>
    <w:tmpl w:val="00000012"/>
    <w:lvl w:ilvl="0" w:tentative="1">
      <w:start w:val="1"/>
      <w:numFmt w:val="bullet"/>
      <w:pStyle w:val="20"/>
      <w:lvlText w:val=""/>
      <w:lvlJc w:val="left"/>
      <w:pPr>
        <w:tabs>
          <w:tab w:val="left" w:pos="490"/>
        </w:tabs>
        <w:ind w:left="490" w:hanging="245"/>
      </w:pPr>
      <w:rPr>
        <w:rFonts w:hint="default" w:ascii="Wingdings" w:hAnsi="Wingdings" w:cs="Wingdings"/>
        <w:b w:val="0"/>
        <w:bCs w:val="0"/>
        <w:color w:val="auto"/>
      </w:rPr>
    </w:lvl>
  </w:abstractNum>
  <w:num w:numId="1">
    <w:abstractNumId w:val="18"/>
  </w:num>
  <w:num w:numId="2">
    <w:abstractNumId w:val="76966208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seNormalStyleForList/>
    <w:doNotUseIndentAsNumberingTabStop/>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Calibri"/>
        <w:lang w:val="en-US" w:eastAsia="zh-CN" w:bidi="ar-SA"/>
      </w:rPr>
    </w:rPrDefault>
  </w:docDefaults>
  <w:latentStyles w:count="156"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99" w:name="toc 1"/>
    <w:lsdException w:unhideWhenUsed="0" w:uiPriority="99" w:name="toc 2"/>
    <w:lsdException w:unhideWhenUsed="0" w:uiPriority="99" w:name="toc 3"/>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0" w:name="Normal Indent"/>
    <w:lsdException w:uiPriority="0" w:name="footnote text"/>
    <w:lsdException w:unhideWhenUsed="0" w:uiPriority="99" w:name="annotation text"/>
    <w:lsdException w:unhideWhenUsed="0" w:uiPriority="99" w:semiHidden="0" w:name="header"/>
    <w:lsdException w:unhideWhenUsed="0" w:uiPriority="99" w:semiHidden="0" w:name="footer"/>
    <w:lsdException w:uiPriority="0" w:name="index heading"/>
    <w:lsdException w:qFormat="1" w:uiPriority="0" w:name="caption" w:locked="1"/>
    <w:lsdException w:uiPriority="0" w:name="table of figures"/>
    <w:lsdException w:uiPriority="0" w:name="envelope address"/>
    <w:lsdException w:uiPriority="0" w:name="envelope return"/>
    <w:lsdException w:uiPriority="0" w:name="footnote reference"/>
    <w:lsdException w:unhideWhenUsed="0" w:uiPriority="99"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ocked="1"/>
    <w:lsdException w:uiPriority="0" w:name="Closing"/>
    <w:lsdException w:uiPriority="0" w:name="Signature"/>
    <w:lsdException w:unhideWhenUsed="0" w:uiPriority="99"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ocked="1"/>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nhideWhenUsed="0" w:uiPriority="99" w:semiHidden="0" w:name="Hyperlink"/>
    <w:lsdException w:uiPriority="0" w:name="FollowedHyperlink"/>
    <w:lsdException w:qFormat="1" w:unhideWhenUsed="0" w:uiPriority="99" w:semiHidden="0" w:name="Strong"/>
    <w:lsdException w:qFormat="1" w:unhideWhenUsed="0" w:uiPriority="0" w:semiHidden="0" w:name="Emphasis" w:locked="1"/>
    <w:lsdException w:uiPriority="0" w:name="Document Map"/>
    <w:lsdException w:uiPriority="0" w:name="Plain Text"/>
    <w:lsdException w:uiPriority="0" w:name="E-mail Signature"/>
    <w:lsdException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nhideWhenUsed="0" w:uiPriority="99" w:name="annotation subject"/>
    <w:lsdException w:unhideWhenUsed="0" w:uiPriority="99" w:name="Balloon Text"/>
  </w:latentStyles>
  <w:style w:type="paragraph" w:default="1" w:styleId="1">
    <w:name w:val="Normal"/>
    <w:qFormat/>
    <w:uiPriority w:val="0"/>
    <w:pPr>
      <w:widowControl w:val="0"/>
      <w:jc w:val="both"/>
    </w:pPr>
    <w:rPr>
      <w:rFonts w:ascii="Calibri" w:hAnsi="Calibri" w:eastAsia="宋体" w:cs="Calibri"/>
      <w:kern w:val="2"/>
      <w:sz w:val="21"/>
      <w:szCs w:val="21"/>
      <w:lang w:val="en-US" w:eastAsia="zh-CN" w:bidi="ar-SA"/>
    </w:rPr>
  </w:style>
  <w:style w:type="paragraph" w:styleId="2">
    <w:name w:val="heading 1"/>
    <w:basedOn w:val="1"/>
    <w:next w:val="1"/>
    <w:link w:val="25"/>
    <w:qFormat/>
    <w:uiPriority w:val="99"/>
    <w:pPr>
      <w:keepNext/>
      <w:keepLines/>
      <w:spacing w:before="340" w:after="330" w:line="578" w:lineRule="auto"/>
      <w:outlineLvl w:val="0"/>
    </w:pPr>
    <w:rPr>
      <w:b/>
      <w:bCs/>
      <w:kern w:val="44"/>
      <w:sz w:val="44"/>
      <w:szCs w:val="44"/>
    </w:rPr>
  </w:style>
  <w:style w:type="paragraph" w:styleId="3">
    <w:name w:val="heading 2"/>
    <w:basedOn w:val="1"/>
    <w:next w:val="1"/>
    <w:link w:val="26"/>
    <w:qFormat/>
    <w:uiPriority w:val="99"/>
    <w:pPr>
      <w:keepNext/>
      <w:keepLines/>
      <w:spacing w:before="260" w:after="260" w:line="416" w:lineRule="auto"/>
      <w:outlineLvl w:val="1"/>
    </w:pPr>
    <w:rPr>
      <w:rFonts w:ascii="Calibri Light" w:hAnsi="Calibri Light" w:cs="Calibri Light"/>
      <w:b/>
      <w:bCs/>
      <w:sz w:val="32"/>
      <w:szCs w:val="32"/>
    </w:rPr>
  </w:style>
  <w:style w:type="paragraph" w:styleId="4">
    <w:name w:val="heading 3"/>
    <w:basedOn w:val="1"/>
    <w:next w:val="1"/>
    <w:link w:val="27"/>
    <w:qFormat/>
    <w:uiPriority w:val="99"/>
    <w:pPr>
      <w:keepNext/>
      <w:keepLines/>
      <w:spacing w:before="260" w:after="260" w:line="416" w:lineRule="auto"/>
      <w:outlineLvl w:val="2"/>
    </w:pPr>
    <w:rPr>
      <w:b/>
      <w:bCs/>
      <w:sz w:val="32"/>
      <w:szCs w:val="32"/>
    </w:rPr>
  </w:style>
  <w:style w:type="paragraph" w:styleId="5">
    <w:name w:val="heading 4"/>
    <w:basedOn w:val="1"/>
    <w:next w:val="1"/>
    <w:link w:val="28"/>
    <w:qFormat/>
    <w:uiPriority w:val="99"/>
    <w:pPr>
      <w:keepNext/>
      <w:keepLines/>
      <w:spacing w:before="280" w:after="290" w:line="376" w:lineRule="auto"/>
      <w:outlineLvl w:val="3"/>
    </w:pPr>
    <w:rPr>
      <w:rFonts w:ascii="Calibri Light" w:hAnsi="Calibri Light" w:cs="Calibri Light"/>
      <w:b/>
      <w:bCs/>
      <w:sz w:val="28"/>
      <w:szCs w:val="28"/>
    </w:rPr>
  </w:style>
  <w:style w:type="character" w:default="1" w:styleId="15">
    <w:name w:val="Default Paragraph Font"/>
    <w:semiHidden/>
    <w:uiPriority w:val="99"/>
  </w:style>
  <w:style w:type="paragraph" w:styleId="6">
    <w:name w:val="annotation subject"/>
    <w:basedOn w:val="7"/>
    <w:next w:val="7"/>
    <w:link w:val="34"/>
    <w:semiHidden/>
    <w:uiPriority w:val="99"/>
    <w:rPr>
      <w:b/>
      <w:bCs/>
    </w:rPr>
  </w:style>
  <w:style w:type="paragraph" w:styleId="7">
    <w:name w:val="annotation text"/>
    <w:basedOn w:val="1"/>
    <w:link w:val="33"/>
    <w:semiHidden/>
    <w:uiPriority w:val="99"/>
    <w:pPr>
      <w:jc w:val="left"/>
    </w:pPr>
  </w:style>
  <w:style w:type="paragraph" w:styleId="8">
    <w:name w:val="toc 3"/>
    <w:basedOn w:val="1"/>
    <w:next w:val="1"/>
    <w:semiHidden/>
    <w:uiPriority w:val="99"/>
    <w:pPr>
      <w:tabs>
        <w:tab w:val="left" w:pos="1134"/>
        <w:tab w:val="left" w:pos="1470"/>
        <w:tab w:val="right" w:leader="dot" w:pos="8296"/>
      </w:tabs>
      <w:spacing w:line="360" w:lineRule="auto"/>
      <w:ind w:left="840" w:leftChars="400"/>
    </w:pPr>
    <w:rPr>
      <w:rFonts w:ascii="Times New Roman" w:hAnsi="Times New Roman" w:cs="Times New Roman"/>
    </w:rPr>
  </w:style>
  <w:style w:type="paragraph" w:styleId="9">
    <w:name w:val="Balloon Text"/>
    <w:basedOn w:val="1"/>
    <w:link w:val="32"/>
    <w:semiHidden/>
    <w:uiPriority w:val="99"/>
    <w:rPr>
      <w:sz w:val="18"/>
      <w:szCs w:val="18"/>
    </w:rPr>
  </w:style>
  <w:style w:type="paragraph" w:styleId="10">
    <w:name w:val="footer"/>
    <w:basedOn w:val="1"/>
    <w:link w:val="31"/>
    <w:uiPriority w:val="99"/>
    <w:pPr>
      <w:tabs>
        <w:tab w:val="center" w:pos="4153"/>
        <w:tab w:val="right" w:pos="8306"/>
      </w:tabs>
      <w:snapToGrid w:val="0"/>
      <w:jc w:val="left"/>
    </w:pPr>
    <w:rPr>
      <w:sz w:val="18"/>
      <w:szCs w:val="18"/>
    </w:rPr>
  </w:style>
  <w:style w:type="paragraph" w:styleId="11">
    <w:name w:val="header"/>
    <w:basedOn w:val="1"/>
    <w:link w:val="30"/>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semiHidden/>
    <w:uiPriority w:val="99"/>
    <w:pPr>
      <w:tabs>
        <w:tab w:val="right" w:leader="dot" w:pos="8296"/>
      </w:tabs>
      <w:spacing w:line="360" w:lineRule="auto"/>
    </w:pPr>
    <w:rPr>
      <w:rFonts w:ascii="Times New Roman" w:hAnsi="Times New Roman" w:cs="Times New Roman"/>
    </w:rPr>
  </w:style>
  <w:style w:type="paragraph" w:styleId="13">
    <w:name w:val="toc 2"/>
    <w:basedOn w:val="1"/>
    <w:next w:val="1"/>
    <w:semiHidden/>
    <w:uiPriority w:val="99"/>
    <w:pPr>
      <w:tabs>
        <w:tab w:val="left" w:pos="616"/>
        <w:tab w:val="right" w:leader="dot" w:pos="8296"/>
      </w:tabs>
      <w:spacing w:line="360" w:lineRule="auto"/>
      <w:ind w:left="420" w:leftChars="200"/>
    </w:pPr>
    <w:rPr>
      <w:rFonts w:ascii="Times New Roman" w:hAnsi="Times New Roman" w:cs="Times New Roman"/>
    </w:rPr>
  </w:style>
  <w:style w:type="paragraph" w:styleId="14">
    <w:name w:val="Normal (Web)"/>
    <w:basedOn w:val="1"/>
    <w:uiPriority w:val="99"/>
    <w:pPr>
      <w:widowControl/>
      <w:spacing w:before="100" w:beforeAutospacing="1" w:after="100" w:afterAutospacing="1"/>
      <w:jc w:val="left"/>
    </w:pPr>
    <w:rPr>
      <w:rFonts w:ascii="宋体" w:hAnsi="宋体" w:cs="宋体"/>
      <w:kern w:val="0"/>
      <w:sz w:val="24"/>
      <w:szCs w:val="24"/>
    </w:rPr>
  </w:style>
  <w:style w:type="character" w:styleId="16">
    <w:name w:val="Strong"/>
    <w:basedOn w:val="15"/>
    <w:qFormat/>
    <w:uiPriority w:val="99"/>
    <w:rPr>
      <w:rFonts w:eastAsia="宋体"/>
      <w:b/>
      <w:bCs/>
      <w:sz w:val="21"/>
      <w:szCs w:val="21"/>
    </w:rPr>
  </w:style>
  <w:style w:type="character" w:styleId="17">
    <w:name w:val="Hyperlink"/>
    <w:basedOn w:val="15"/>
    <w:uiPriority w:val="99"/>
    <w:rPr>
      <w:color w:val="0563C1"/>
      <w:u w:val="single"/>
    </w:rPr>
  </w:style>
  <w:style w:type="character" w:styleId="18">
    <w:name w:val="annotation reference"/>
    <w:basedOn w:val="15"/>
    <w:semiHidden/>
    <w:uiPriority w:val="99"/>
    <w:rPr>
      <w:sz w:val="21"/>
      <w:szCs w:val="21"/>
    </w:rPr>
  </w:style>
  <w:style w:type="paragraph" w:customStyle="1" w:styleId="19">
    <w:name w:val="List Paragraph"/>
    <w:basedOn w:val="1"/>
    <w:link w:val="29"/>
    <w:qFormat/>
    <w:uiPriority w:val="99"/>
    <w:pPr>
      <w:ind w:firstLine="420" w:firstLineChars="200"/>
    </w:pPr>
    <w:rPr>
      <w:kern w:val="0"/>
      <w:sz w:val="24"/>
      <w:szCs w:val="24"/>
    </w:rPr>
  </w:style>
  <w:style w:type="paragraph" w:customStyle="1" w:styleId="20">
    <w:name w:val="25 Chapter bullet 2"/>
    <w:basedOn w:val="1"/>
    <w:uiPriority w:val="99"/>
    <w:pPr>
      <w:widowControl/>
      <w:numPr>
        <w:ilvl w:val="0"/>
        <w:numId w:val="1"/>
      </w:numPr>
      <w:spacing w:before="20" w:line="264" w:lineRule="auto"/>
      <w:jc w:val="left"/>
    </w:pPr>
    <w:rPr>
      <w:rFonts w:ascii="Arial" w:hAnsi="Arial" w:eastAsia="LF_Kai" w:cs="Arial"/>
      <w:color w:val="000000"/>
      <w:kern w:val="0"/>
      <w:sz w:val="20"/>
      <w:szCs w:val="20"/>
    </w:rPr>
  </w:style>
  <w:style w:type="paragraph" w:customStyle="1" w:styleId="21">
    <w:name w:val="TOC Heading"/>
    <w:basedOn w:val="2"/>
    <w:next w:val="1"/>
    <w:qFormat/>
    <w:uiPriority w:val="99"/>
    <w:pPr>
      <w:widowControl/>
      <w:spacing w:before="240" w:after="0" w:line="259" w:lineRule="auto"/>
      <w:jc w:val="left"/>
      <w:outlineLvl w:val="9"/>
    </w:pPr>
    <w:rPr>
      <w:rFonts w:ascii="Calibri Light" w:hAnsi="Calibri Light" w:cs="Calibri Light"/>
      <w:b w:val="0"/>
      <w:bCs w:val="0"/>
      <w:color w:val="2E74B5"/>
      <w:kern w:val="0"/>
      <w:sz w:val="32"/>
      <w:szCs w:val="32"/>
    </w:rPr>
  </w:style>
  <w:style w:type="paragraph" w:customStyle="1" w:styleId="22">
    <w:name w:val="报告正文"/>
    <w:basedOn w:val="1"/>
    <w:uiPriority w:val="99"/>
    <w:pPr>
      <w:spacing w:afterLines="50" w:line="600" w:lineRule="exact"/>
      <w:ind w:firstLine="200" w:firstLineChars="200"/>
    </w:pPr>
    <w:rPr>
      <w:rFonts w:eastAsia="仿宋"/>
      <w:kern w:val="0"/>
      <w:sz w:val="28"/>
      <w:szCs w:val="28"/>
    </w:rPr>
  </w:style>
  <w:style w:type="paragraph" w:customStyle="1" w:styleId="23">
    <w:name w:val="列出段落2"/>
    <w:basedOn w:val="1"/>
    <w:uiPriority w:val="99"/>
    <w:pPr>
      <w:ind w:firstLine="420" w:firstLineChars="200"/>
    </w:pPr>
  </w:style>
  <w:style w:type="paragraph" w:customStyle="1" w:styleId="24">
    <w:name w:val="Char"/>
    <w:basedOn w:val="1"/>
    <w:uiPriority w:val="99"/>
    <w:pPr>
      <w:widowControl/>
      <w:spacing w:after="160" w:line="240" w:lineRule="exact"/>
      <w:ind w:firstLine="420" w:firstLineChars="200"/>
      <w:jc w:val="left"/>
    </w:pPr>
    <w:rPr>
      <w:rFonts w:ascii="Verdana" w:hAnsi="Verdana" w:cs="Verdana"/>
      <w:kern w:val="0"/>
      <w:lang w:eastAsia="en-US"/>
    </w:rPr>
  </w:style>
  <w:style w:type="character" w:customStyle="1" w:styleId="25">
    <w:name w:val="Heading 1 Char"/>
    <w:basedOn w:val="15"/>
    <w:link w:val="2"/>
    <w:uiPriority w:val="99"/>
    <w:rPr>
      <w:rFonts w:ascii="Calibri" w:hAnsi="Calibri" w:eastAsia="宋体" w:cs="Calibri"/>
      <w:b/>
      <w:bCs/>
      <w:kern w:val="44"/>
      <w:sz w:val="44"/>
      <w:szCs w:val="44"/>
    </w:rPr>
  </w:style>
  <w:style w:type="character" w:customStyle="1" w:styleId="26">
    <w:name w:val="Heading 2 Char"/>
    <w:basedOn w:val="15"/>
    <w:link w:val="3"/>
    <w:uiPriority w:val="99"/>
    <w:rPr>
      <w:rFonts w:ascii="Calibri Light" w:hAnsi="Calibri Light" w:eastAsia="宋体" w:cs="Calibri Light"/>
      <w:b/>
      <w:bCs/>
      <w:sz w:val="32"/>
      <w:szCs w:val="32"/>
    </w:rPr>
  </w:style>
  <w:style w:type="character" w:customStyle="1" w:styleId="27">
    <w:name w:val="Heading 3 Char"/>
    <w:basedOn w:val="15"/>
    <w:link w:val="4"/>
    <w:uiPriority w:val="99"/>
    <w:rPr>
      <w:rFonts w:ascii="Calibri" w:hAnsi="Calibri" w:eastAsia="宋体" w:cs="Calibri"/>
      <w:b/>
      <w:bCs/>
      <w:sz w:val="32"/>
      <w:szCs w:val="32"/>
    </w:rPr>
  </w:style>
  <w:style w:type="character" w:customStyle="1" w:styleId="28">
    <w:name w:val="Heading 4 Char"/>
    <w:basedOn w:val="15"/>
    <w:link w:val="5"/>
    <w:uiPriority w:val="99"/>
    <w:rPr>
      <w:rFonts w:ascii="Calibri Light" w:hAnsi="Calibri Light" w:eastAsia="宋体" w:cs="Calibri Light"/>
      <w:b/>
      <w:bCs/>
      <w:sz w:val="28"/>
      <w:szCs w:val="28"/>
    </w:rPr>
  </w:style>
  <w:style w:type="character" w:customStyle="1" w:styleId="29">
    <w:name w:val="List Paragraph Char Char"/>
    <w:link w:val="19"/>
    <w:locked/>
    <w:uiPriority w:val="99"/>
    <w:rPr>
      <w:rFonts w:ascii="Calibri" w:hAnsi="Calibri" w:eastAsia="宋体" w:cs="Calibri"/>
      <w:sz w:val="24"/>
      <w:szCs w:val="24"/>
    </w:rPr>
  </w:style>
  <w:style w:type="character" w:customStyle="1" w:styleId="30">
    <w:name w:val="Header Char"/>
    <w:basedOn w:val="15"/>
    <w:link w:val="11"/>
    <w:uiPriority w:val="99"/>
    <w:rPr>
      <w:rFonts w:ascii="Calibri" w:hAnsi="Calibri" w:eastAsia="宋体" w:cs="Calibri"/>
      <w:sz w:val="18"/>
      <w:szCs w:val="18"/>
    </w:rPr>
  </w:style>
  <w:style w:type="character" w:customStyle="1" w:styleId="31">
    <w:name w:val="Footer Char"/>
    <w:basedOn w:val="15"/>
    <w:link w:val="10"/>
    <w:uiPriority w:val="99"/>
    <w:rPr>
      <w:rFonts w:ascii="Calibri" w:hAnsi="Calibri" w:eastAsia="宋体" w:cs="Calibri"/>
      <w:sz w:val="18"/>
      <w:szCs w:val="18"/>
    </w:rPr>
  </w:style>
  <w:style w:type="character" w:customStyle="1" w:styleId="32">
    <w:name w:val="Balloon Text Char Char"/>
    <w:basedOn w:val="15"/>
    <w:link w:val="9"/>
    <w:uiPriority w:val="99"/>
    <w:rPr>
      <w:rFonts w:ascii="Calibri" w:hAnsi="Calibri" w:eastAsia="宋体" w:cs="Calibri"/>
      <w:sz w:val="18"/>
      <w:szCs w:val="18"/>
    </w:rPr>
  </w:style>
  <w:style w:type="character" w:customStyle="1" w:styleId="33">
    <w:name w:val="Comment Text Char"/>
    <w:basedOn w:val="15"/>
    <w:link w:val="7"/>
    <w:uiPriority w:val="99"/>
    <w:rPr>
      <w:rFonts w:ascii="Calibri" w:hAnsi="Calibri" w:eastAsia="宋体" w:cs="Calibri"/>
      <w:sz w:val="24"/>
      <w:szCs w:val="24"/>
    </w:rPr>
  </w:style>
  <w:style w:type="character" w:customStyle="1" w:styleId="34">
    <w:name w:val="Comment Subject Char"/>
    <w:basedOn w:val="33"/>
    <w:link w:val="6"/>
    <w:uiPriority w:val="99"/>
    <w:rPr>
      <w:b/>
      <w:bCs/>
    </w:rPr>
  </w:style>
  <w:style w:type="character" w:customStyle="1" w:styleId="35">
    <w:name w:val="emtidy-4"/>
    <w:uiPriority w:val="99"/>
  </w:style>
</w:styles>
</file>

<file path=word/_rels/document.xml.rels><?xml version="1.0" encoding="UTF-8" standalone="yes"?>
<Relationships xmlns="http://schemas.openxmlformats.org/package/2006/relationships"><Relationship Id="rId1" Type="http://schemas.openxmlformats.org/officeDocument/2006/relationships/fontTable" Target="fontTable.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jpeg"/><Relationship Id="rId18" Type="http://schemas.openxmlformats.org/officeDocument/2006/relationships/image" Target="media/image13.emf"/><Relationship Id="rId19" Type="http://schemas.openxmlformats.org/officeDocument/2006/relationships/image" Target="media/image14.emf"/><Relationship Id="rId2" Type="http://schemas.openxmlformats.org/officeDocument/2006/relationships/styles" Target="styles.xml"/><Relationship Id="rId20" Type="http://schemas.openxmlformats.org/officeDocument/2006/relationships/image" Target="media/image15.png"/><Relationship Id="rId21" Type="http://schemas.openxmlformats.org/officeDocument/2006/relationships/customXml" Target="../customXml/item1.xml"/><Relationship Id="rId2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footer" Target="footer1.xml"/><Relationship Id="rId5" Type="http://schemas.openxmlformats.org/officeDocument/2006/relationships/theme" Target="theme/theme1.xml"/><Relationship Id="rId6" Type="http://schemas.openxmlformats.org/officeDocument/2006/relationships/image" Target="media/image1.emf"/><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Company>微软中国</Company>
  <Pages>87</Pages>
  <Words>8901</Words>
  <Lines>0</Lines>
  <Paragraphs>0</Paragraphs>
  <TotalTime>0</TotalTime>
  <ScaleCrop>false</ScaleCrop>
  <LinksUpToDate>false</LinksUpToDate>
  <CharactersWithSpaces>0</CharactersWithSpaces>
  <Application>WPS Office 专业版_9.1.0.4337_{F1E327BC-269C-435d-A152-05C5408002CA}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2021-10-09T08:23:00Z</dcterms:created>
  <dc:creator>yang changhua</dc:creator>
  <cp:lastModifiedBy>2323166</cp:lastModifiedBy>
  <cp:lastPrinted>2021-04-30T06:33:00Z</cp:lastPrinted>
  <dcterms:modified xsi:type="dcterms:W3CDTF">2021-10-09T08:45:30Z</dcterms:modified>
  <dc:title>龙岩市“十四五”有色金属产业发展规划</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2052-9.1.0.4337</vt:lpwstr>
  </property>
</Properties>
</file>