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4"/>
        <w:ind w:firstLine="480"/>
        <w:rPr>
          <w:rFonts w:hint="default" w:ascii="宋体" w:hAnsi="宋体"/>
          <w:color w:val="FF0000"/>
          <w:sz w:val="24"/>
          <w:lang w:val="en-US" w:eastAsia="zh-CN"/>
        </w:rPr>
      </w:pPr>
    </w:p>
    <w:p>
      <w:pPr>
        <w:pStyle w:val="54"/>
        <w:ind w:firstLine="480"/>
        <w:rPr>
          <w:rFonts w:hint="default" w:ascii="宋体" w:hAnsi="宋体"/>
          <w:color w:val="FF0000"/>
          <w:sz w:val="24"/>
          <w:lang w:val="en-US" w:eastAsia="zh-CN"/>
        </w:rPr>
      </w:pPr>
    </w:p>
    <w:p>
      <w:pPr>
        <w:widowControl/>
        <w:ind w:firstLine="3300" w:firstLineChars="750"/>
        <w:jc w:val="left"/>
        <w:rPr>
          <w:rFonts w:hint="eastAsia"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lang w:val="en-US" w:eastAsia="zh-CN"/>
        </w:rPr>
        <w:t>需求清单</w:t>
      </w:r>
    </w:p>
    <w:p>
      <w:pPr>
        <w:widowControl/>
        <w:spacing w:line="540" w:lineRule="exact"/>
        <w:ind w:firstLine="562" w:firstLineChars="200"/>
        <w:jc w:val="left"/>
        <w:rPr>
          <w:rFonts w:hint="eastAsia" w:ascii="仿宋" w:hAnsi="仿宋" w:eastAsia="仿宋" w:cs="仿宋"/>
          <w:b/>
          <w:sz w:val="28"/>
          <w:szCs w:val="28"/>
          <w:lang w:val="en-US" w:eastAsia="zh-CN"/>
        </w:rPr>
      </w:pPr>
    </w:p>
    <w:p>
      <w:pPr>
        <w:widowControl/>
        <w:spacing w:line="540" w:lineRule="exact"/>
        <w:ind w:firstLine="562" w:firstLineChars="200"/>
        <w:jc w:val="left"/>
        <w:rPr>
          <w:rFonts w:hint="eastAsia" w:ascii="仿宋" w:hAnsi="仿宋" w:eastAsia="仿宋" w:cs="仿宋"/>
          <w:b/>
          <w:sz w:val="28"/>
          <w:szCs w:val="28"/>
          <w:lang w:val="en-US" w:eastAsia="zh-CN"/>
        </w:rPr>
      </w:pPr>
    </w:p>
    <w:p>
      <w:pPr>
        <w:widowControl/>
        <w:spacing w:line="540" w:lineRule="exact"/>
        <w:ind w:firstLine="562" w:firstLineChars="200"/>
        <w:jc w:val="left"/>
        <w:rPr>
          <w:rFonts w:hint="default" w:ascii="仿宋" w:hAnsi="仿宋" w:eastAsia="仿宋" w:cs="仿宋"/>
          <w:b/>
          <w:sz w:val="28"/>
          <w:szCs w:val="28"/>
          <w:lang w:val="en-US" w:eastAsia="zh-CN"/>
        </w:rPr>
      </w:pPr>
      <w:r>
        <w:rPr>
          <w:rFonts w:hint="eastAsia" w:ascii="仿宋" w:hAnsi="仿宋" w:eastAsia="仿宋" w:cs="仿宋"/>
          <w:b/>
          <w:sz w:val="28"/>
          <w:szCs w:val="28"/>
          <w:lang w:val="en-US" w:eastAsia="zh-CN"/>
        </w:rPr>
        <w:t>1、数量清单</w:t>
      </w:r>
    </w:p>
    <w:tbl>
      <w:tblPr>
        <w:tblStyle w:val="23"/>
        <w:tblW w:w="4998" w:type="pct"/>
        <w:tblInd w:w="0" w:type="dxa"/>
        <w:tblLayout w:type="autofit"/>
        <w:tblCellMar>
          <w:top w:w="0" w:type="dxa"/>
          <w:left w:w="108" w:type="dxa"/>
          <w:bottom w:w="0" w:type="dxa"/>
          <w:right w:w="108" w:type="dxa"/>
        </w:tblCellMar>
      </w:tblPr>
      <w:tblGrid>
        <w:gridCol w:w="1638"/>
        <w:gridCol w:w="3145"/>
        <w:gridCol w:w="1868"/>
        <w:gridCol w:w="1868"/>
      </w:tblGrid>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b/>
                <w:bCs/>
                <w:kern w:val="0"/>
                <w:sz w:val="28"/>
                <w:szCs w:val="28"/>
                <w:lang w:val="zh-CN"/>
              </w:rPr>
            </w:pPr>
            <w:bookmarkStart w:id="0" w:name="_GoBack" w:colFirst="0" w:colLast="3"/>
            <w:r>
              <w:rPr>
                <w:rStyle w:val="53"/>
                <w:rFonts w:hint="eastAsia" w:ascii="仿宋_GB2312" w:eastAsia="仿宋_GB2312"/>
                <w:b/>
                <w:bCs/>
                <w:kern w:val="0"/>
                <w:sz w:val="28"/>
                <w:szCs w:val="28"/>
                <w:lang w:val="zh-CN"/>
              </w:rPr>
              <w:t>序号</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Style w:val="53"/>
                <w:rFonts w:ascii="仿宋_GB2312" w:eastAsia="仿宋_GB2312"/>
                <w:b/>
                <w:bCs/>
                <w:kern w:val="0"/>
                <w:sz w:val="28"/>
                <w:szCs w:val="28"/>
                <w:lang w:val="zh-CN"/>
              </w:rPr>
            </w:pPr>
            <w:r>
              <w:rPr>
                <w:rStyle w:val="53"/>
                <w:rFonts w:hint="eastAsia" w:ascii="仿宋_GB2312" w:eastAsia="仿宋_GB2312"/>
                <w:b/>
                <w:bCs/>
                <w:kern w:val="0"/>
                <w:sz w:val="28"/>
                <w:szCs w:val="28"/>
                <w:lang w:val="zh-CN"/>
              </w:rPr>
              <w:t>产品名称</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b/>
                <w:bCs/>
                <w:kern w:val="0"/>
                <w:sz w:val="28"/>
                <w:szCs w:val="28"/>
                <w:lang w:val="zh-CN"/>
              </w:rPr>
            </w:pPr>
            <w:r>
              <w:rPr>
                <w:rStyle w:val="53"/>
                <w:rFonts w:hint="eastAsia" w:ascii="仿宋_GB2312" w:eastAsia="仿宋_GB2312"/>
                <w:b/>
                <w:bCs/>
                <w:kern w:val="0"/>
                <w:sz w:val="28"/>
                <w:szCs w:val="28"/>
                <w:lang w:val="zh-CN"/>
              </w:rPr>
              <w:t>单位</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b/>
                <w:bCs/>
                <w:kern w:val="0"/>
                <w:sz w:val="28"/>
                <w:szCs w:val="28"/>
                <w:lang w:val="zh-CN"/>
              </w:rPr>
            </w:pPr>
            <w:r>
              <w:rPr>
                <w:rStyle w:val="53"/>
                <w:rFonts w:hint="eastAsia" w:ascii="仿宋_GB2312" w:eastAsia="仿宋_GB2312"/>
                <w:b/>
                <w:bCs/>
                <w:kern w:val="0"/>
                <w:sz w:val="28"/>
                <w:szCs w:val="28"/>
                <w:lang w:val="zh-CN"/>
              </w:rPr>
              <w:t>数量</w:t>
            </w:r>
          </w:p>
        </w:tc>
      </w:tr>
      <w:bookmarkEnd w:id="0"/>
      <w:tr>
        <w:tblPrEx>
          <w:tblCellMar>
            <w:top w:w="0" w:type="dxa"/>
            <w:left w:w="108" w:type="dxa"/>
            <w:bottom w:w="0" w:type="dxa"/>
            <w:right w:w="108" w:type="dxa"/>
          </w:tblCellMar>
        </w:tblPrEx>
        <w:trPr>
          <w:trHeight w:val="434"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1</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经理桌</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eastAsia" w:ascii="仿宋_GB2312" w:eastAsia="仿宋_GB2312"/>
                <w:kern w:val="0"/>
                <w:sz w:val="28"/>
                <w:szCs w:val="28"/>
                <w:lang w:val="en-US" w:eastAsia="zh-CN"/>
              </w:rPr>
            </w:pPr>
            <w:r>
              <w:rPr>
                <w:rStyle w:val="53"/>
                <w:rFonts w:hint="eastAsia" w:ascii="仿宋_GB2312" w:eastAsia="仿宋_GB2312"/>
                <w:kern w:val="0"/>
                <w:sz w:val="28"/>
                <w:szCs w:val="28"/>
                <w:lang w:val="en-US"/>
              </w:rPr>
              <w:t>张</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11</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2</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办公椅</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把</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1</w:t>
            </w:r>
            <w:r>
              <w:rPr>
                <w:rStyle w:val="53"/>
                <w:rFonts w:hint="eastAsia" w:ascii="仿宋_GB2312" w:eastAsia="仿宋_GB2312"/>
                <w:kern w:val="0"/>
                <w:sz w:val="28"/>
                <w:szCs w:val="28"/>
                <w:lang w:val="en-US"/>
              </w:rPr>
              <w:t>1</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3</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书柜</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组</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en-US"/>
              </w:rPr>
              <w:t>5</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4</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办公桌</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张</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117</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5</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活动柜</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个</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en-US"/>
              </w:rPr>
              <w:t>9</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6</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办公椅</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把</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140</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7</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洽谈椅</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把</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16</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8</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定制沙发</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套</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1</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9</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月亮椅</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张</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1</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10</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茶几</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把</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1</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11</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eastAsia="zh-CN"/>
              </w:rPr>
              <w:t>休闲</w:t>
            </w:r>
            <w:r>
              <w:rPr>
                <w:rStyle w:val="53"/>
                <w:rFonts w:hint="eastAsia" w:ascii="仿宋_GB2312" w:eastAsia="仿宋_GB2312"/>
                <w:kern w:val="0"/>
                <w:sz w:val="28"/>
                <w:szCs w:val="28"/>
                <w:lang w:val="zh-CN"/>
              </w:rPr>
              <w:t>椅</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把</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4</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12</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茶几</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个</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1</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13</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吧桌</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张</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1</w:t>
            </w:r>
          </w:p>
        </w:tc>
      </w:tr>
      <w:tr>
        <w:tblPrEx>
          <w:tblCellMar>
            <w:top w:w="0" w:type="dxa"/>
            <w:left w:w="108" w:type="dxa"/>
            <w:bottom w:w="0" w:type="dxa"/>
            <w:right w:w="108" w:type="dxa"/>
          </w:tblCellMar>
        </w:tblPrEx>
        <w:trPr>
          <w:trHeight w:val="283" w:hRule="atLeast"/>
        </w:trPr>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14</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53"/>
                <w:rFonts w:hint="eastAsia" w:ascii="仿宋_GB2312" w:eastAsia="仿宋_GB2312"/>
                <w:kern w:val="0"/>
                <w:sz w:val="28"/>
                <w:szCs w:val="28"/>
                <w:lang w:val="zh-CN" w:eastAsia="zh-CN"/>
              </w:rPr>
            </w:pPr>
            <w:r>
              <w:rPr>
                <w:rStyle w:val="53"/>
                <w:rFonts w:hint="eastAsia" w:ascii="仿宋_GB2312" w:eastAsia="仿宋_GB2312"/>
                <w:kern w:val="0"/>
                <w:sz w:val="28"/>
                <w:szCs w:val="28"/>
                <w:lang w:val="zh-CN"/>
              </w:rPr>
              <w:t>凳子</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ascii="仿宋_GB2312" w:eastAsia="仿宋_GB2312"/>
                <w:kern w:val="0"/>
                <w:sz w:val="28"/>
                <w:szCs w:val="28"/>
                <w:lang w:val="zh-CN"/>
              </w:rPr>
            </w:pPr>
            <w:r>
              <w:rPr>
                <w:rStyle w:val="53"/>
                <w:rFonts w:hint="eastAsia" w:ascii="仿宋_GB2312" w:eastAsia="仿宋_GB2312"/>
                <w:kern w:val="0"/>
                <w:sz w:val="28"/>
                <w:szCs w:val="28"/>
                <w:lang w:val="zh-CN"/>
              </w:rPr>
              <w:t>组</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53"/>
                <w:rFonts w:hint="default" w:ascii="仿宋_GB2312" w:eastAsia="仿宋_GB2312"/>
                <w:kern w:val="0"/>
                <w:sz w:val="28"/>
                <w:szCs w:val="28"/>
                <w:lang w:val="en-US"/>
              </w:rPr>
            </w:pPr>
            <w:r>
              <w:rPr>
                <w:rStyle w:val="53"/>
                <w:rFonts w:hint="eastAsia" w:ascii="仿宋_GB2312" w:eastAsia="仿宋_GB2312"/>
                <w:kern w:val="0"/>
                <w:sz w:val="28"/>
                <w:szCs w:val="28"/>
                <w:lang w:val="en-US"/>
              </w:rPr>
              <w:t>12</w:t>
            </w:r>
          </w:p>
        </w:tc>
      </w:tr>
    </w:tbl>
    <w:p>
      <w:pPr>
        <w:widowControl/>
        <w:spacing w:line="540" w:lineRule="exact"/>
        <w:ind w:firstLine="562" w:firstLineChars="200"/>
        <w:jc w:val="left"/>
        <w:rPr>
          <w:rFonts w:ascii="仿宋" w:hAnsi="仿宋" w:eastAsia="仿宋" w:cs="仿宋"/>
          <w:b/>
          <w:sz w:val="28"/>
          <w:szCs w:val="28"/>
        </w:rPr>
      </w:pPr>
      <w:r>
        <w:rPr>
          <w:rFonts w:hint="eastAsia" w:ascii="仿宋" w:hAnsi="仿宋" w:eastAsia="仿宋" w:cs="仿宋"/>
          <w:b/>
          <w:sz w:val="28"/>
          <w:szCs w:val="28"/>
          <w:lang w:val="en-US" w:eastAsia="zh-CN"/>
        </w:rPr>
        <w:t>2</w:t>
      </w:r>
      <w:r>
        <w:rPr>
          <w:rFonts w:hint="eastAsia" w:ascii="仿宋" w:hAnsi="仿宋" w:eastAsia="仿宋" w:cs="仿宋"/>
          <w:b/>
          <w:sz w:val="28"/>
          <w:szCs w:val="28"/>
        </w:rPr>
        <w:t>、技术参数要求</w:t>
      </w:r>
    </w:p>
    <w:tbl>
      <w:tblPr>
        <w:tblStyle w:val="23"/>
        <w:tblW w:w="5000" w:type="pct"/>
        <w:tblInd w:w="0" w:type="dxa"/>
        <w:tblLayout w:type="autofit"/>
        <w:tblCellMar>
          <w:top w:w="0" w:type="dxa"/>
          <w:left w:w="108" w:type="dxa"/>
          <w:bottom w:w="0" w:type="dxa"/>
          <w:right w:w="108" w:type="dxa"/>
        </w:tblCellMar>
      </w:tblPr>
      <w:tblGrid>
        <w:gridCol w:w="486"/>
        <w:gridCol w:w="1149"/>
        <w:gridCol w:w="4595"/>
        <w:gridCol w:w="2292"/>
      </w:tblGrid>
      <w:tr>
        <w:tblPrEx>
          <w:tblCellMar>
            <w:top w:w="0" w:type="dxa"/>
            <w:left w:w="108" w:type="dxa"/>
            <w:bottom w:w="0" w:type="dxa"/>
            <w:right w:w="108" w:type="dxa"/>
          </w:tblCellMar>
        </w:tblPrEx>
        <w:trPr>
          <w:trHeight w:val="881"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序号</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rPr>
              <w:t>产品名称</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技术参数及要求</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参考图片</w:t>
            </w:r>
          </w:p>
        </w:tc>
      </w:tr>
      <w:tr>
        <w:tblPrEx>
          <w:tblCellMar>
            <w:top w:w="0" w:type="dxa"/>
            <w:left w:w="108" w:type="dxa"/>
            <w:bottom w:w="0" w:type="dxa"/>
            <w:right w:w="108" w:type="dxa"/>
          </w:tblCellMar>
        </w:tblPrEx>
        <w:trPr>
          <w:trHeight w:val="1789"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经理桌</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1.规格尺寸：1400*700*750；</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2.面材：采用优质防火板,绿色环保.无味、防火、耐磨、防污；</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3.基材：微粒中密度板，强度高、刚性好，不变形，经防酸、防碱、防火、耐磨、耐刮等工艺处理；</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4.采用2mmPVC热压同色封边，优质五金配件、锁具；</w:t>
            </w:r>
          </w:p>
          <w:p>
            <w:pPr>
              <w:widowControl/>
              <w:jc w:val="left"/>
              <w:textAlignment w:val="center"/>
              <w:rPr>
                <w:rFonts w:ascii="宋体" w:hAnsi="宋体" w:cs="宋体"/>
                <w:color w:val="000000"/>
                <w:sz w:val="21"/>
                <w:szCs w:val="21"/>
              </w:rPr>
            </w:pPr>
            <w:r>
              <w:rPr>
                <w:rFonts w:hint="eastAsia" w:ascii="宋体" w:hAnsi="宋体" w:cs="宋体"/>
                <w:color w:val="000000"/>
                <w:kern w:val="0"/>
                <w:sz w:val="21"/>
                <w:szCs w:val="21"/>
              </w:rPr>
              <w:t>5.优质喷塑T形框架，厚度1.2mm，承重300kg，经久不变形。</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bCs/>
                <w:color w:val="000000"/>
                <w:szCs w:val="21"/>
              </w:rPr>
            </w:pPr>
            <w:r>
              <w:drawing>
                <wp:anchor distT="0" distB="0" distL="114300" distR="114300" simplePos="0" relativeHeight="251661312" behindDoc="0" locked="0" layoutInCell="1" allowOverlap="1">
                  <wp:simplePos x="0" y="0"/>
                  <wp:positionH relativeFrom="column">
                    <wp:posOffset>-10795</wp:posOffset>
                  </wp:positionH>
                  <wp:positionV relativeFrom="paragraph">
                    <wp:posOffset>487680</wp:posOffset>
                  </wp:positionV>
                  <wp:extent cx="1316990" cy="906780"/>
                  <wp:effectExtent l="0" t="0" r="16510" b="762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4"/>
                          <a:srcRect t="15152" r="3343"/>
                          <a:stretch>
                            <a:fillRect/>
                          </a:stretch>
                        </pic:blipFill>
                        <pic:spPr>
                          <a:xfrm>
                            <a:off x="0" y="0"/>
                            <a:ext cx="1316990" cy="90678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办公椅</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1.规格尺寸：标准；</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2.一体成型扶手；                                    3.钢板厚度超过2.5MM的四趟锁定底盘【座胶壳】；</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4.50/3电镀气杆；                                   5.优质五金配件；                                          6.60/25黑色大轮，质保5年；                                         7.坐垫内衬45#高密度一次成型海绵，经过防潮防腐防虫处理，软硬适中，回弹性能好，不易变形；</w:t>
            </w:r>
          </w:p>
          <w:p>
            <w:pPr>
              <w:widowControl/>
              <w:jc w:val="left"/>
              <w:textAlignment w:val="center"/>
              <w:rPr>
                <w:rFonts w:ascii="宋体" w:hAnsi="宋体" w:cs="宋体"/>
                <w:color w:val="000000"/>
                <w:sz w:val="21"/>
                <w:szCs w:val="21"/>
              </w:rPr>
            </w:pPr>
            <w:r>
              <w:rPr>
                <w:rFonts w:hint="eastAsia" w:ascii="宋体" w:hAnsi="宋体" w:cs="宋体"/>
                <w:color w:val="000000"/>
                <w:kern w:val="0"/>
                <w:sz w:val="21"/>
                <w:szCs w:val="21"/>
              </w:rPr>
              <w:t>8.椅背采用优质网孔面料，透气性强，椅座采用优质阻燃麻绒面料。</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59264" behindDoc="0" locked="0" layoutInCell="1" allowOverlap="1">
                  <wp:simplePos x="0" y="0"/>
                  <wp:positionH relativeFrom="column">
                    <wp:posOffset>78105</wp:posOffset>
                  </wp:positionH>
                  <wp:positionV relativeFrom="paragraph">
                    <wp:posOffset>481965</wp:posOffset>
                  </wp:positionV>
                  <wp:extent cx="1108710" cy="1294130"/>
                  <wp:effectExtent l="0" t="0" r="15240" b="1270"/>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
                          <a:stretch>
                            <a:fillRect/>
                          </a:stretch>
                        </pic:blipFill>
                        <pic:spPr>
                          <a:xfrm>
                            <a:off x="0" y="0"/>
                            <a:ext cx="1108710" cy="129413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书柜</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1.规格尺寸：800*400*1200；</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2.面材：采用优质防火板,绿色环保.无味、防火、耐磨、防污；</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3.基材：微粒中密度板，强度高、刚性好，不变形，经防酸、防碱、防火、耐磨、耐刮等工艺处理；</w:t>
            </w:r>
          </w:p>
          <w:p>
            <w:pPr>
              <w:widowControl/>
              <w:jc w:val="left"/>
              <w:textAlignment w:val="center"/>
              <w:rPr>
                <w:rFonts w:ascii="宋体" w:hAnsi="宋体" w:cs="宋体"/>
                <w:color w:val="000000"/>
                <w:kern w:val="0"/>
                <w:sz w:val="21"/>
                <w:szCs w:val="21"/>
              </w:rPr>
            </w:pPr>
            <w:r>
              <w:rPr>
                <w:rFonts w:hint="eastAsia" w:ascii="宋体" w:hAnsi="宋体" w:cs="宋体"/>
                <w:color w:val="000000"/>
                <w:kern w:val="0"/>
                <w:sz w:val="21"/>
                <w:szCs w:val="21"/>
              </w:rPr>
              <w:t>4.采用2mmPVC热压同色封边，优质五金配件、锁具。</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Cs w:val="21"/>
                <w:bdr w:val="single" w:color="000000" w:sz="4" w:space="0"/>
              </w:rPr>
            </w:pPr>
            <w:r>
              <w:drawing>
                <wp:anchor distT="0" distB="0" distL="114300" distR="114300" simplePos="0" relativeHeight="251660288" behindDoc="0" locked="0" layoutInCell="1" allowOverlap="1">
                  <wp:simplePos x="0" y="0"/>
                  <wp:positionH relativeFrom="column">
                    <wp:posOffset>191770</wp:posOffset>
                  </wp:positionH>
                  <wp:positionV relativeFrom="paragraph">
                    <wp:posOffset>247015</wp:posOffset>
                  </wp:positionV>
                  <wp:extent cx="910590" cy="1212850"/>
                  <wp:effectExtent l="0" t="0" r="3810" b="6350"/>
                  <wp:wrapNone/>
                  <wp:docPr id="1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9"/>
                          <pic:cNvPicPr>
                            <a:picLocks noChangeAspect="1"/>
                          </pic:cNvPicPr>
                        </pic:nvPicPr>
                        <pic:blipFill>
                          <a:blip r:embed="rId6"/>
                          <a:stretch>
                            <a:fillRect/>
                          </a:stretch>
                        </pic:blipFill>
                        <pic:spPr>
                          <a:xfrm>
                            <a:off x="0" y="0"/>
                            <a:ext cx="910590" cy="12128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652"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办公桌</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1.规格尺寸：1200*600*750；</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2.面材：采用优质防火板,绿色环保.无味、防火、耐磨、防污；</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3.基材：微粒中密度板，强度高、刚性好，不变形，经防酸、防碱、防火、耐磨、耐刮等工艺处理；</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4.采用2mmPVC热压同色封边，优质五金配件、锁具；</w:t>
            </w:r>
          </w:p>
          <w:p>
            <w:pPr>
              <w:widowControl/>
              <w:jc w:val="left"/>
              <w:textAlignment w:val="center"/>
              <w:rPr>
                <w:rFonts w:hint="eastAsia" w:ascii="宋体" w:hAnsi="宋体" w:eastAsia="宋体" w:cs="宋体"/>
                <w:color w:val="000000"/>
                <w:sz w:val="21"/>
                <w:szCs w:val="21"/>
                <w:lang w:eastAsia="zh-CN"/>
              </w:rPr>
            </w:pPr>
            <w:r>
              <w:rPr>
                <w:rFonts w:hint="eastAsia" w:ascii="宋体" w:hAnsi="宋体" w:cs="宋体"/>
                <w:color w:val="000000"/>
                <w:sz w:val="21"/>
                <w:szCs w:val="21"/>
              </w:rPr>
              <w:t>5.优质喷塑</w:t>
            </w:r>
            <w:r>
              <w:rPr>
                <w:rFonts w:hint="eastAsia" w:ascii="宋体" w:hAnsi="宋体" w:cs="宋体"/>
                <w:color w:val="000000"/>
                <w:sz w:val="21"/>
                <w:szCs w:val="21"/>
                <w:lang w:eastAsia="zh-CN"/>
              </w:rPr>
              <w:t>矩</w:t>
            </w:r>
            <w:r>
              <w:rPr>
                <w:rFonts w:hint="eastAsia" w:ascii="宋体" w:hAnsi="宋体" w:cs="宋体"/>
                <w:color w:val="000000"/>
                <w:sz w:val="21"/>
                <w:szCs w:val="21"/>
              </w:rPr>
              <w:t>形框架，厚度1.2mm，承重300kg，经久不变形。</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65408" behindDoc="0" locked="0" layoutInCell="1" allowOverlap="1">
                  <wp:simplePos x="0" y="0"/>
                  <wp:positionH relativeFrom="column">
                    <wp:posOffset>10160</wp:posOffset>
                  </wp:positionH>
                  <wp:positionV relativeFrom="paragraph">
                    <wp:posOffset>685165</wp:posOffset>
                  </wp:positionV>
                  <wp:extent cx="1317625" cy="915035"/>
                  <wp:effectExtent l="0" t="0" r="15875" b="18415"/>
                  <wp:wrapNone/>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7"/>
                          <a:stretch>
                            <a:fillRect/>
                          </a:stretch>
                        </pic:blipFill>
                        <pic:spPr>
                          <a:xfrm>
                            <a:off x="0" y="0"/>
                            <a:ext cx="1317625" cy="91503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活动柜</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1.规格尺寸：标准；</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2.面材：采用优质防火板,绿色环保.无味、防火、耐磨、防污；</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3.基材：微粒中密度板，强度高、刚性好，不变形，经防酸、防碱、防火、耐磨、耐刮等工艺处理；</w:t>
            </w:r>
          </w:p>
          <w:p>
            <w:pPr>
              <w:widowControl/>
              <w:jc w:val="left"/>
              <w:textAlignment w:val="center"/>
              <w:rPr>
                <w:rFonts w:ascii="宋体" w:hAnsi="宋体" w:cs="宋体"/>
                <w:color w:val="000000"/>
                <w:sz w:val="21"/>
                <w:szCs w:val="21"/>
              </w:rPr>
            </w:pPr>
            <w:r>
              <w:rPr>
                <w:rFonts w:hint="eastAsia" w:ascii="宋体" w:hAnsi="宋体" w:cs="宋体"/>
                <w:color w:val="000000"/>
                <w:kern w:val="0"/>
                <w:sz w:val="21"/>
                <w:szCs w:val="21"/>
              </w:rPr>
              <w:t>4.采用2mmPVC热压同色封边，优质五金配件、锁具。</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62336" behindDoc="0" locked="0" layoutInCell="1" allowOverlap="1">
                  <wp:simplePos x="0" y="0"/>
                  <wp:positionH relativeFrom="column">
                    <wp:posOffset>209550</wp:posOffset>
                  </wp:positionH>
                  <wp:positionV relativeFrom="paragraph">
                    <wp:posOffset>382270</wp:posOffset>
                  </wp:positionV>
                  <wp:extent cx="857885" cy="973455"/>
                  <wp:effectExtent l="0" t="0" r="18415" b="17145"/>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857885" cy="97345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6</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办公椅</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1.规格尺寸：标准；</w:t>
            </w:r>
          </w:p>
          <w:p>
            <w:pPr>
              <w:widowControl/>
              <w:jc w:val="left"/>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2.一体成型扶手；                                    3.钢板厚度超过2.5MM的四趟锁定底盘【座胶壳】；                             4.50/3电镀气杆；                                   5.优质五金配件；                                          6.60/25黑色大轮，质保5年；                                         7.坐垫内衬45#高密度一次成型海绵，经过防潮防腐防虫处理，软硬适中，回弹性能好，不易变形；</w:t>
            </w:r>
          </w:p>
          <w:p>
            <w:pPr>
              <w:widowControl/>
              <w:jc w:val="left"/>
              <w:textAlignment w:val="center"/>
              <w:rPr>
                <w:rFonts w:ascii="宋体" w:hAnsi="宋体" w:cs="宋体"/>
                <w:color w:val="000000"/>
                <w:sz w:val="21"/>
                <w:szCs w:val="21"/>
              </w:rPr>
            </w:pPr>
            <w:r>
              <w:rPr>
                <w:rFonts w:hint="eastAsia" w:ascii="宋体" w:hAnsi="宋体" w:cs="宋体"/>
                <w:color w:val="000000"/>
                <w:kern w:val="0"/>
                <w:sz w:val="21"/>
                <w:szCs w:val="21"/>
              </w:rPr>
              <w:t>8.椅背采用优质网孔面料，透气性强，椅座采用优质阻燃麻绒面料。</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64384" behindDoc="0" locked="0" layoutInCell="1" allowOverlap="1">
                  <wp:simplePos x="0" y="0"/>
                  <wp:positionH relativeFrom="column">
                    <wp:posOffset>143510</wp:posOffset>
                  </wp:positionH>
                  <wp:positionV relativeFrom="paragraph">
                    <wp:posOffset>508635</wp:posOffset>
                  </wp:positionV>
                  <wp:extent cx="879475" cy="1309370"/>
                  <wp:effectExtent l="0" t="0" r="15875" b="5080"/>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9"/>
                          <a:stretch>
                            <a:fillRect/>
                          </a:stretch>
                        </pic:blipFill>
                        <pic:spPr>
                          <a:xfrm>
                            <a:off x="0" y="0"/>
                            <a:ext cx="879475" cy="130937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7</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洽谈椅</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1.规格尺寸：标准；</w:t>
            </w:r>
          </w:p>
          <w:p>
            <w:pPr>
              <w:widowControl/>
              <w:jc w:val="left"/>
              <w:textAlignment w:val="center"/>
              <w:rPr>
                <w:rFonts w:ascii="宋体" w:hAnsi="宋体" w:cs="宋体"/>
                <w:color w:val="000000"/>
                <w:sz w:val="21"/>
                <w:szCs w:val="21"/>
              </w:rPr>
            </w:pPr>
            <w:r>
              <w:rPr>
                <w:rFonts w:hint="eastAsia" w:ascii="宋体" w:hAnsi="宋体" w:cs="宋体"/>
                <w:color w:val="000000"/>
                <w:sz w:val="21"/>
                <w:szCs w:val="21"/>
              </w:rPr>
              <w:t>2.一体成型扶手；                                    3.钢板厚度超过2.5MM的四趟锁定底盘【座胶壳】；                             4.50/3电镀气杆；                                   5.优质五金配件；                                          6.60/25黑色大轮，质保5年；                                         7.坐垫内衬45#高密度一次成型海绵，经过防潮防腐防虫处理，软硬适中，回弹性能好，不易变形。</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63360" behindDoc="0" locked="0" layoutInCell="1" allowOverlap="1">
                  <wp:simplePos x="0" y="0"/>
                  <wp:positionH relativeFrom="column">
                    <wp:posOffset>134620</wp:posOffset>
                  </wp:positionH>
                  <wp:positionV relativeFrom="paragraph">
                    <wp:posOffset>578485</wp:posOffset>
                  </wp:positionV>
                  <wp:extent cx="1042035" cy="1148715"/>
                  <wp:effectExtent l="0" t="0" r="5715" b="1333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0"/>
                          <a:stretch>
                            <a:fillRect/>
                          </a:stretch>
                        </pic:blipFill>
                        <pic:spPr>
                          <a:xfrm>
                            <a:off x="0" y="0"/>
                            <a:ext cx="1042035" cy="114871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定制沙发</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1.规格尺寸：3000*2050*900；</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2、面料:优质布绒；</w:t>
            </w:r>
          </w:p>
          <w:p>
            <w:pPr>
              <w:widowControl/>
              <w:jc w:val="left"/>
              <w:textAlignment w:val="center"/>
              <w:rPr>
                <w:rFonts w:ascii="宋体" w:hAnsi="宋体" w:cs="宋体"/>
                <w:color w:val="000000"/>
                <w:sz w:val="21"/>
                <w:szCs w:val="21"/>
              </w:rPr>
            </w:pPr>
            <w:r>
              <w:rPr>
                <w:rFonts w:hint="eastAsia" w:ascii="宋体" w:hAnsi="宋体" w:cs="宋体"/>
                <w:color w:val="000000"/>
                <w:sz w:val="21"/>
                <w:szCs w:val="21"/>
              </w:rPr>
              <w:t>3、辅料:采用PU成型发泡高密度海绵。4、内衬实木框架。</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66432" behindDoc="0" locked="0" layoutInCell="1" allowOverlap="1">
                  <wp:simplePos x="0" y="0"/>
                  <wp:positionH relativeFrom="column">
                    <wp:posOffset>10160</wp:posOffset>
                  </wp:positionH>
                  <wp:positionV relativeFrom="paragraph">
                    <wp:posOffset>136525</wp:posOffset>
                  </wp:positionV>
                  <wp:extent cx="1285240" cy="1104265"/>
                  <wp:effectExtent l="0" t="0" r="10160" b="635"/>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1285240" cy="110426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9</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月亮椅</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1.规格尺寸：标准；</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2.面料采用定型海绵；</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3.优质钢架内框，高级麻绒布饰面；</w:t>
            </w:r>
          </w:p>
          <w:p>
            <w:pPr>
              <w:widowControl/>
              <w:jc w:val="left"/>
              <w:textAlignment w:val="center"/>
              <w:rPr>
                <w:rFonts w:ascii="宋体" w:hAnsi="宋体" w:cs="宋体"/>
                <w:color w:val="000000"/>
                <w:sz w:val="21"/>
                <w:szCs w:val="21"/>
              </w:rPr>
            </w:pPr>
            <w:r>
              <w:rPr>
                <w:rFonts w:hint="eastAsia" w:ascii="宋体" w:hAnsi="宋体" w:cs="宋体"/>
                <w:color w:val="000000"/>
                <w:sz w:val="21"/>
                <w:szCs w:val="21"/>
              </w:rPr>
              <w:t>4.采用铝合金十字脚，可旋转。</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67456" behindDoc="0" locked="0" layoutInCell="1" allowOverlap="1">
                  <wp:simplePos x="0" y="0"/>
                  <wp:positionH relativeFrom="column">
                    <wp:posOffset>101600</wp:posOffset>
                  </wp:positionH>
                  <wp:positionV relativeFrom="paragraph">
                    <wp:posOffset>149860</wp:posOffset>
                  </wp:positionV>
                  <wp:extent cx="889000" cy="1046480"/>
                  <wp:effectExtent l="0" t="0" r="6350" b="127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pic:cNvPicPr>
                            <a:picLocks noChangeAspect="1"/>
                          </pic:cNvPicPr>
                        </pic:nvPicPr>
                        <pic:blipFill>
                          <a:blip r:embed="rId12"/>
                          <a:stretch>
                            <a:fillRect/>
                          </a:stretch>
                        </pic:blipFill>
                        <pic:spPr>
                          <a:xfrm>
                            <a:off x="0" y="0"/>
                            <a:ext cx="889000" cy="104648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10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茶几</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1.规格尺寸：1200*600*420；</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2.面材：采用优质防火板,绿色环保.无味、防火、耐磨、防污；</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3.基材：微粒中密度板，强度高、刚性好，不变形，经防酸、防碱、防火、耐磨、耐刮等工艺处理；</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4.采用2mmPVC热压同色封边，优质五金配件、锁具；</w:t>
            </w:r>
          </w:p>
          <w:p>
            <w:pPr>
              <w:widowControl/>
              <w:jc w:val="left"/>
              <w:textAlignment w:val="center"/>
              <w:rPr>
                <w:rFonts w:ascii="宋体" w:hAnsi="宋体" w:cs="宋体"/>
                <w:color w:val="000000"/>
                <w:sz w:val="21"/>
                <w:szCs w:val="21"/>
              </w:rPr>
            </w:pPr>
            <w:r>
              <w:rPr>
                <w:rFonts w:hint="eastAsia" w:ascii="宋体" w:hAnsi="宋体" w:cs="宋体"/>
                <w:color w:val="000000"/>
                <w:sz w:val="21"/>
                <w:szCs w:val="21"/>
              </w:rPr>
              <w:t>5.优质喷塑</w:t>
            </w:r>
            <w:r>
              <w:rPr>
                <w:rFonts w:hint="eastAsia" w:ascii="宋体" w:hAnsi="宋体" w:cs="宋体"/>
                <w:color w:val="000000"/>
                <w:sz w:val="21"/>
                <w:szCs w:val="21"/>
                <w:lang w:eastAsia="zh-CN"/>
              </w:rPr>
              <w:t>圆</w:t>
            </w:r>
            <w:r>
              <w:rPr>
                <w:rFonts w:hint="eastAsia" w:ascii="宋体" w:hAnsi="宋体" w:cs="宋体"/>
                <w:color w:val="000000"/>
                <w:sz w:val="21"/>
                <w:szCs w:val="21"/>
              </w:rPr>
              <w:t>形框架，厚度1.2mm，承重300kg，经久不变形。</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68480" behindDoc="0" locked="0" layoutInCell="1" allowOverlap="1">
                  <wp:simplePos x="0" y="0"/>
                  <wp:positionH relativeFrom="column">
                    <wp:posOffset>56515</wp:posOffset>
                  </wp:positionH>
                  <wp:positionV relativeFrom="paragraph">
                    <wp:posOffset>799465</wp:posOffset>
                  </wp:positionV>
                  <wp:extent cx="1120140" cy="618490"/>
                  <wp:effectExtent l="0" t="0" r="3810" b="10160"/>
                  <wp:wrapNone/>
                  <wp:docPr id="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pic:cNvPicPr>
                            <a:picLocks noChangeAspect="1"/>
                          </pic:cNvPicPr>
                        </pic:nvPicPr>
                        <pic:blipFill>
                          <a:blip r:embed="rId13"/>
                          <a:stretch>
                            <a:fillRect/>
                          </a:stretch>
                        </pic:blipFill>
                        <pic:spPr>
                          <a:xfrm>
                            <a:off x="0" y="0"/>
                            <a:ext cx="1120140" cy="61849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11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eastAsia="zh-CN"/>
              </w:rPr>
              <w:t>休闲</w:t>
            </w:r>
            <w:r>
              <w:rPr>
                <w:rStyle w:val="53"/>
                <w:rFonts w:hint="eastAsia" w:ascii="仿宋_GB2312" w:eastAsia="仿宋_GB2312"/>
                <w:kern w:val="0"/>
                <w:sz w:val="21"/>
                <w:szCs w:val="21"/>
                <w:lang w:val="zh-CN"/>
              </w:rPr>
              <w:t>椅</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1.规格尺寸：标准；</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2.面料采用定型海绵；</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3.优质钢架内框，高级麻绒布饰面；</w:t>
            </w:r>
          </w:p>
          <w:p>
            <w:pPr>
              <w:widowControl/>
              <w:jc w:val="left"/>
              <w:textAlignment w:val="center"/>
              <w:rPr>
                <w:rFonts w:ascii="宋体" w:hAnsi="宋体" w:cs="宋体"/>
                <w:color w:val="000000"/>
                <w:sz w:val="21"/>
                <w:szCs w:val="21"/>
              </w:rPr>
            </w:pPr>
            <w:r>
              <w:rPr>
                <w:rFonts w:hint="eastAsia" w:ascii="宋体" w:hAnsi="宋体" w:cs="宋体"/>
                <w:color w:val="000000"/>
                <w:sz w:val="21"/>
                <w:szCs w:val="21"/>
              </w:rPr>
              <w:t>4.采用铝合金十字脚，可旋转。</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69504" behindDoc="0" locked="0" layoutInCell="1" allowOverlap="1">
                  <wp:simplePos x="0" y="0"/>
                  <wp:positionH relativeFrom="column">
                    <wp:posOffset>210185</wp:posOffset>
                  </wp:positionH>
                  <wp:positionV relativeFrom="paragraph">
                    <wp:posOffset>57150</wp:posOffset>
                  </wp:positionV>
                  <wp:extent cx="772160" cy="1164590"/>
                  <wp:effectExtent l="0" t="0" r="8890" b="1651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4"/>
                          <a:stretch>
                            <a:fillRect/>
                          </a:stretch>
                        </pic:blipFill>
                        <pic:spPr>
                          <a:xfrm>
                            <a:off x="0" y="0"/>
                            <a:ext cx="772160" cy="116459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12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Calibri" w:eastAsia="仿宋_GB2312" w:cs="Times New Roman"/>
                <w:kern w:val="0"/>
                <w:sz w:val="21"/>
                <w:szCs w:val="21"/>
                <w:lang w:val="zh-CN" w:eastAsia="zh-CN" w:bidi="ar-SA"/>
              </w:rPr>
            </w:pPr>
            <w:r>
              <w:rPr>
                <w:rStyle w:val="53"/>
                <w:rFonts w:hint="eastAsia" w:ascii="仿宋_GB2312" w:eastAsia="仿宋_GB2312"/>
                <w:kern w:val="0"/>
                <w:sz w:val="21"/>
                <w:szCs w:val="21"/>
                <w:lang w:val="zh-CN"/>
              </w:rPr>
              <w:t>茶几</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1.规格尺寸：ø600*高750；</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2.面材：采用优质防火板,绿色环保.无味、防火、耐磨、防污；</w:t>
            </w:r>
          </w:p>
          <w:p>
            <w:pPr>
              <w:widowControl/>
              <w:jc w:val="left"/>
              <w:textAlignment w:val="center"/>
              <w:rPr>
                <w:rFonts w:ascii="宋体" w:hAnsi="宋体" w:cs="宋体"/>
                <w:color w:val="000000"/>
                <w:sz w:val="21"/>
                <w:szCs w:val="21"/>
              </w:rPr>
            </w:pPr>
            <w:r>
              <w:rPr>
                <w:rFonts w:hint="eastAsia" w:ascii="宋体" w:hAnsi="宋体" w:cs="宋体"/>
                <w:color w:val="000000"/>
                <w:sz w:val="21"/>
                <w:szCs w:val="21"/>
              </w:rPr>
              <w:t>3.基材：微粒中密度板，强度高、刚性好，不变形，经防酸、防碱、防火、耐磨、耐刮等工艺处理；</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71552" behindDoc="0" locked="0" layoutInCell="1" allowOverlap="1">
                  <wp:simplePos x="0" y="0"/>
                  <wp:positionH relativeFrom="column">
                    <wp:posOffset>161925</wp:posOffset>
                  </wp:positionH>
                  <wp:positionV relativeFrom="paragraph">
                    <wp:posOffset>169545</wp:posOffset>
                  </wp:positionV>
                  <wp:extent cx="998220" cy="1035685"/>
                  <wp:effectExtent l="0" t="0" r="11430" b="12065"/>
                  <wp:wrapNone/>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pic:cNvPicPr>
                            <a:picLocks noChangeAspect="1"/>
                          </pic:cNvPicPr>
                        </pic:nvPicPr>
                        <pic:blipFill>
                          <a:blip r:embed="rId15"/>
                          <a:stretch>
                            <a:fillRect/>
                          </a:stretch>
                        </pic:blipFill>
                        <pic:spPr>
                          <a:xfrm>
                            <a:off x="0" y="0"/>
                            <a:ext cx="998220" cy="103568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13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rPr>
              <w:t>吧桌</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1.规格尺寸：1920*400*910；</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2.面材：采用优质防火板,绿色环保.无味、防火、耐磨、防污；</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3.基材：微粒中密度板，强度高、刚性好，不变形，经防酸、防碱、防火、耐磨、耐刮等工艺处理；</w:t>
            </w:r>
          </w:p>
          <w:p>
            <w:pPr>
              <w:widowControl/>
              <w:jc w:val="left"/>
              <w:textAlignment w:val="center"/>
              <w:rPr>
                <w:rFonts w:hint="eastAsia" w:ascii="宋体" w:hAnsi="宋体" w:eastAsia="宋体" w:cs="宋体"/>
                <w:color w:val="000000"/>
                <w:sz w:val="21"/>
                <w:szCs w:val="21"/>
                <w:lang w:eastAsia="zh-CN"/>
              </w:rPr>
            </w:pPr>
            <w:r>
              <w:rPr>
                <w:rFonts w:hint="eastAsia" w:ascii="宋体" w:hAnsi="宋体" w:cs="宋体"/>
                <w:color w:val="000000"/>
                <w:sz w:val="21"/>
                <w:szCs w:val="21"/>
              </w:rPr>
              <w:t>4.采用2mmPVC热压同色封边，优质五金配件</w:t>
            </w:r>
            <w:r>
              <w:rPr>
                <w:rFonts w:hint="eastAsia" w:ascii="宋体" w:hAnsi="宋体" w:cs="宋体"/>
                <w:color w:val="000000"/>
                <w:sz w:val="21"/>
                <w:szCs w:val="21"/>
                <w:lang w:eastAsia="zh-CN"/>
              </w:rPr>
              <w:t>。</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70528" behindDoc="0" locked="0" layoutInCell="1" allowOverlap="1">
                  <wp:simplePos x="0" y="0"/>
                  <wp:positionH relativeFrom="column">
                    <wp:posOffset>62865</wp:posOffset>
                  </wp:positionH>
                  <wp:positionV relativeFrom="paragraph">
                    <wp:posOffset>172720</wp:posOffset>
                  </wp:positionV>
                  <wp:extent cx="1224280" cy="1133475"/>
                  <wp:effectExtent l="0" t="0" r="13970" b="9525"/>
                  <wp:wrapNone/>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pic:cNvPicPr>
                        </pic:nvPicPr>
                        <pic:blipFill>
                          <a:blip r:embed="rId16"/>
                          <a:stretch>
                            <a:fillRect/>
                          </a:stretch>
                        </pic:blipFill>
                        <pic:spPr>
                          <a:xfrm>
                            <a:off x="0" y="0"/>
                            <a:ext cx="1224280" cy="113347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13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14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rPr>
              <w:t>凳子</w:t>
            </w:r>
          </w:p>
        </w:tc>
        <w:tc>
          <w:tcPr>
            <w:tcW w:w="2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1.规格尺寸：标准；</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2.采用透明亚克力一体成型；</w:t>
            </w:r>
          </w:p>
          <w:p>
            <w:pPr>
              <w:widowControl/>
              <w:jc w:val="left"/>
              <w:textAlignment w:val="center"/>
              <w:rPr>
                <w:rFonts w:hint="eastAsia" w:ascii="宋体" w:hAnsi="宋体" w:cs="宋体"/>
                <w:color w:val="000000"/>
                <w:sz w:val="21"/>
                <w:szCs w:val="21"/>
              </w:rPr>
            </w:pPr>
            <w:r>
              <w:rPr>
                <w:rFonts w:hint="eastAsia" w:ascii="宋体" w:hAnsi="宋体" w:cs="宋体"/>
                <w:color w:val="000000"/>
                <w:sz w:val="21"/>
                <w:szCs w:val="21"/>
              </w:rPr>
              <w:t>3.圆润边角处理、平滑无毛刺；</w:t>
            </w:r>
          </w:p>
          <w:p>
            <w:pPr>
              <w:widowControl/>
              <w:jc w:val="left"/>
              <w:textAlignment w:val="center"/>
              <w:rPr>
                <w:rFonts w:ascii="宋体" w:hAnsi="宋体" w:cs="宋体"/>
                <w:color w:val="000000"/>
                <w:sz w:val="21"/>
                <w:szCs w:val="21"/>
              </w:rPr>
            </w:pPr>
            <w:r>
              <w:rPr>
                <w:rFonts w:hint="eastAsia" w:ascii="宋体" w:hAnsi="宋体" w:cs="宋体"/>
                <w:color w:val="000000"/>
                <w:sz w:val="21"/>
                <w:szCs w:val="21"/>
              </w:rPr>
              <w:t>4.底部配防滑脚垫。</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drawing>
                <wp:anchor distT="0" distB="0" distL="114300" distR="114300" simplePos="0" relativeHeight="251672576" behindDoc="0" locked="0" layoutInCell="1" allowOverlap="1">
                  <wp:simplePos x="0" y="0"/>
                  <wp:positionH relativeFrom="column">
                    <wp:posOffset>308610</wp:posOffset>
                  </wp:positionH>
                  <wp:positionV relativeFrom="paragraph">
                    <wp:posOffset>175260</wp:posOffset>
                  </wp:positionV>
                  <wp:extent cx="704215" cy="951865"/>
                  <wp:effectExtent l="0" t="0" r="635" b="635"/>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704215" cy="951865"/>
                          </a:xfrm>
                          <a:prstGeom prst="rect">
                            <a:avLst/>
                          </a:prstGeom>
                          <a:noFill/>
                          <a:ln w="9525">
                            <a:noFill/>
                          </a:ln>
                        </pic:spPr>
                      </pic:pic>
                    </a:graphicData>
                  </a:graphic>
                </wp:anchor>
              </w:drawing>
            </w:r>
          </w:p>
        </w:tc>
      </w:tr>
    </w:tbl>
    <w:p>
      <w:pPr>
        <w:widowControl/>
        <w:jc w:val="left"/>
        <w:textAlignment w:val="center"/>
        <w:rPr>
          <w:rFonts w:ascii="宋体" w:hAnsi="宋体" w:cs="宋体"/>
          <w:color w:val="000000"/>
          <w:kern w:val="0"/>
          <w:szCs w:val="21"/>
        </w:rPr>
      </w:pPr>
      <w:r>
        <w:rPr>
          <w:rFonts w:hint="eastAsia" w:ascii="仿宋" w:hAnsi="仿宋" w:eastAsia="仿宋" w:cs="仿宋"/>
          <w:color w:val="000000"/>
          <w:kern w:val="0"/>
          <w:sz w:val="28"/>
          <w:szCs w:val="28"/>
        </w:rPr>
        <w:t xml:space="preserve"> </w:t>
      </w:r>
    </w:p>
    <w:p>
      <w:pPr>
        <w:spacing w:line="560" w:lineRule="exact"/>
        <w:ind w:firstLine="562" w:firstLineChars="200"/>
        <w:rPr>
          <w:rStyle w:val="53"/>
          <w:rFonts w:ascii="仿宋_GB2312" w:eastAsia="仿宋_GB2312"/>
          <w:b/>
          <w:bCs/>
          <w:color w:val="000000"/>
          <w:kern w:val="0"/>
          <w:sz w:val="28"/>
          <w:szCs w:val="28"/>
        </w:rPr>
      </w:pPr>
      <w:r>
        <w:rPr>
          <w:rStyle w:val="53"/>
          <w:rFonts w:hint="eastAsia" w:ascii="仿宋_GB2312" w:eastAsia="仿宋_GB2312"/>
          <w:b/>
          <w:bCs/>
          <w:color w:val="000000"/>
          <w:kern w:val="0"/>
          <w:sz w:val="28"/>
          <w:szCs w:val="28"/>
          <w:lang w:val="en-US"/>
        </w:rPr>
        <w:t>3</w:t>
      </w:r>
      <w:r>
        <w:rPr>
          <w:rStyle w:val="53"/>
          <w:rFonts w:hint="eastAsia" w:ascii="仿宋_GB2312" w:eastAsia="仿宋_GB2312"/>
          <w:b/>
          <w:bCs/>
          <w:color w:val="000000"/>
          <w:kern w:val="0"/>
          <w:sz w:val="28"/>
          <w:szCs w:val="28"/>
        </w:rPr>
        <w:t>、报价要求：</w:t>
      </w:r>
    </w:p>
    <w:p>
      <w:pPr>
        <w:spacing w:line="560" w:lineRule="exact"/>
        <w:ind w:firstLine="560" w:firstLineChars="200"/>
        <w:rPr>
          <w:rStyle w:val="53"/>
          <w:rFonts w:ascii="仿宋_GB2312" w:eastAsia="仿宋_GB2312"/>
          <w:color w:val="000000"/>
          <w:kern w:val="0"/>
          <w:sz w:val="28"/>
          <w:szCs w:val="28"/>
        </w:rPr>
      </w:pPr>
      <w:r>
        <w:rPr>
          <w:rStyle w:val="53"/>
          <w:rFonts w:hint="eastAsia" w:ascii="仿宋_GB2312" w:eastAsia="仿宋_GB2312"/>
          <w:color w:val="000000"/>
          <w:kern w:val="0"/>
          <w:sz w:val="28"/>
          <w:szCs w:val="28"/>
        </w:rPr>
        <w:t>本项目为采购项目，投标报价是履行合同的最终价格，应包括货款、包装、运输、税金、安装等供应商完成本项目所需的一切费用，采购人不再支付任何费用；投标报价估算错误等引起的风险由供应商自行承担。</w:t>
      </w:r>
    </w:p>
    <w:p>
      <w:pPr>
        <w:spacing w:line="560" w:lineRule="exact"/>
        <w:ind w:firstLine="562" w:firstLineChars="200"/>
        <w:rPr>
          <w:rStyle w:val="53"/>
          <w:rFonts w:ascii="仿宋_GB2312" w:eastAsia="仿宋_GB2312"/>
          <w:b/>
          <w:bCs/>
          <w:color w:val="000000"/>
          <w:kern w:val="0"/>
          <w:sz w:val="28"/>
          <w:szCs w:val="28"/>
          <w:lang w:val="zh-CN"/>
        </w:rPr>
      </w:pPr>
      <w:r>
        <w:rPr>
          <w:rStyle w:val="53"/>
          <w:rFonts w:hint="eastAsia" w:ascii="仿宋_GB2312" w:eastAsia="仿宋_GB2312"/>
          <w:b/>
          <w:bCs/>
          <w:color w:val="000000"/>
          <w:kern w:val="0"/>
          <w:sz w:val="28"/>
          <w:szCs w:val="28"/>
          <w:lang w:val="en-US"/>
        </w:rPr>
        <w:t>4</w:t>
      </w:r>
      <w:r>
        <w:rPr>
          <w:rStyle w:val="53"/>
          <w:rFonts w:hint="eastAsia" w:ascii="仿宋_GB2312" w:eastAsia="仿宋_GB2312"/>
          <w:b/>
          <w:bCs/>
          <w:color w:val="000000"/>
          <w:kern w:val="0"/>
          <w:sz w:val="28"/>
          <w:szCs w:val="28"/>
        </w:rPr>
        <w:t>、</w:t>
      </w:r>
      <w:r>
        <w:rPr>
          <w:rStyle w:val="53"/>
          <w:rFonts w:hint="eastAsia" w:ascii="仿宋_GB2312" w:eastAsia="仿宋_GB2312"/>
          <w:b/>
          <w:bCs/>
          <w:color w:val="000000"/>
          <w:kern w:val="0"/>
          <w:sz w:val="28"/>
          <w:szCs w:val="28"/>
          <w:lang w:val="zh-CN"/>
        </w:rPr>
        <w:t>履约时间和方式</w:t>
      </w:r>
    </w:p>
    <w:p>
      <w:pPr>
        <w:spacing w:line="560" w:lineRule="exact"/>
        <w:ind w:firstLine="560" w:firstLineChars="200"/>
        <w:rPr>
          <w:rStyle w:val="53"/>
          <w:rFonts w:ascii="仿宋_GB2312" w:eastAsia="仿宋_GB2312"/>
          <w:color w:val="000000"/>
          <w:kern w:val="0"/>
          <w:sz w:val="28"/>
          <w:szCs w:val="28"/>
          <w:lang w:val="zh-CN"/>
        </w:rPr>
      </w:pPr>
      <w:r>
        <w:rPr>
          <w:rStyle w:val="53"/>
          <w:rFonts w:hint="eastAsia" w:ascii="仿宋_GB2312" w:eastAsia="仿宋_GB2312"/>
          <w:color w:val="000000"/>
          <w:kern w:val="0"/>
          <w:sz w:val="28"/>
          <w:szCs w:val="28"/>
          <w:lang w:val="zh-CN"/>
        </w:rPr>
        <w:t>（1）成交供应商应于合同签订后一周之内前往采购人指定的地点进行所有项目实施前的实施方案落实工作，并取得采购人的书面签字认可之后进行全面的货源组织、生产、安装、调试等项目整体实施工作；</w:t>
      </w:r>
    </w:p>
    <w:p>
      <w:pPr>
        <w:spacing w:line="560" w:lineRule="exact"/>
        <w:ind w:firstLine="560" w:firstLineChars="200"/>
        <w:rPr>
          <w:rStyle w:val="53"/>
          <w:rFonts w:ascii="仿宋_GB2312" w:eastAsia="仿宋_GB2312"/>
          <w:color w:val="000000"/>
          <w:kern w:val="0"/>
          <w:sz w:val="28"/>
          <w:szCs w:val="28"/>
          <w:lang w:val="zh-CN"/>
        </w:rPr>
      </w:pPr>
      <w:r>
        <w:rPr>
          <w:rStyle w:val="53"/>
          <w:rFonts w:hint="eastAsia" w:ascii="仿宋_GB2312" w:eastAsia="仿宋_GB2312"/>
          <w:color w:val="000000"/>
          <w:kern w:val="0"/>
          <w:sz w:val="28"/>
          <w:szCs w:val="28"/>
          <w:lang w:val="zh-CN"/>
        </w:rPr>
        <w:t>（2）成交供应商须保证本项目中所约定的全部产品自签订合同之日起于1</w:t>
      </w:r>
      <w:r>
        <w:rPr>
          <w:rStyle w:val="53"/>
          <w:rFonts w:hint="eastAsia" w:ascii="仿宋_GB2312" w:eastAsia="仿宋_GB2312"/>
          <w:color w:val="000000"/>
          <w:kern w:val="0"/>
          <w:sz w:val="28"/>
          <w:szCs w:val="28"/>
          <w:lang w:val="en-US"/>
        </w:rPr>
        <w:t>5</w:t>
      </w:r>
      <w:r>
        <w:rPr>
          <w:rStyle w:val="53"/>
          <w:rFonts w:hint="eastAsia" w:ascii="仿宋_GB2312" w:eastAsia="仿宋_GB2312"/>
          <w:color w:val="000000"/>
          <w:kern w:val="0"/>
          <w:sz w:val="28"/>
          <w:szCs w:val="28"/>
          <w:lang w:val="zh-CN"/>
        </w:rPr>
        <w:t>个工作日内全部送达采购人指定的地点，并按照要求完成安装、调试、整体实施等全部工作，并通知采购人组织进行项目的履约验收和整体安装调试后质量检测。若供应商未能按招标文件规定的交货期和服务要求全面完成所有项目的备货、安装、调试、整体实施等全部工作，将追究违约责任，并会同财政等部门对供应商进行相关处理。</w:t>
      </w:r>
    </w:p>
    <w:p>
      <w:pPr>
        <w:spacing w:line="560" w:lineRule="exact"/>
        <w:ind w:firstLine="560" w:firstLineChars="200"/>
        <w:rPr>
          <w:rStyle w:val="53"/>
          <w:rFonts w:ascii="仿宋_GB2312" w:eastAsia="仿宋_GB2312"/>
          <w:color w:val="000000"/>
          <w:kern w:val="0"/>
          <w:sz w:val="28"/>
          <w:szCs w:val="28"/>
        </w:rPr>
      </w:pPr>
      <w:r>
        <w:rPr>
          <w:rStyle w:val="53"/>
          <w:rFonts w:hint="eastAsia" w:ascii="仿宋_GB2312" w:eastAsia="仿宋_GB2312"/>
          <w:color w:val="000000"/>
          <w:kern w:val="0"/>
          <w:sz w:val="28"/>
          <w:szCs w:val="28"/>
          <w:lang w:val="zh-CN"/>
        </w:rPr>
        <w:t>（3）成交供应商须提供投标所有产品的质保书（投标人或制造商的）或售后服务</w:t>
      </w:r>
      <w:r>
        <w:rPr>
          <w:rStyle w:val="53"/>
          <w:rFonts w:hint="eastAsia" w:ascii="仿宋_GB2312" w:eastAsia="仿宋_GB2312"/>
          <w:color w:val="000000"/>
          <w:kern w:val="0"/>
          <w:sz w:val="28"/>
          <w:szCs w:val="28"/>
        </w:rPr>
        <w:t>承诺书（投标人或制造商的）。</w:t>
      </w:r>
    </w:p>
    <w:p>
      <w:pPr>
        <w:spacing w:line="560" w:lineRule="exact"/>
        <w:ind w:firstLine="562" w:firstLineChars="200"/>
        <w:rPr>
          <w:rStyle w:val="53"/>
          <w:rFonts w:ascii="仿宋_GB2312" w:eastAsia="仿宋_GB2312"/>
          <w:b/>
          <w:bCs/>
          <w:color w:val="000000"/>
          <w:kern w:val="0"/>
          <w:sz w:val="28"/>
          <w:szCs w:val="28"/>
        </w:rPr>
      </w:pPr>
      <w:r>
        <w:rPr>
          <w:rStyle w:val="53"/>
          <w:rFonts w:hint="eastAsia" w:ascii="仿宋_GB2312" w:eastAsia="仿宋_GB2312"/>
          <w:b/>
          <w:bCs/>
          <w:color w:val="000000"/>
          <w:kern w:val="0"/>
          <w:sz w:val="28"/>
          <w:szCs w:val="28"/>
          <w:lang w:val="en-US"/>
        </w:rPr>
        <w:t>5</w:t>
      </w:r>
      <w:r>
        <w:rPr>
          <w:rStyle w:val="53"/>
          <w:rFonts w:hint="eastAsia" w:ascii="仿宋_GB2312" w:eastAsia="仿宋_GB2312"/>
          <w:b/>
          <w:bCs/>
          <w:color w:val="000000"/>
          <w:kern w:val="0"/>
          <w:sz w:val="28"/>
          <w:szCs w:val="28"/>
        </w:rPr>
        <w:t>、付款方式</w:t>
      </w:r>
    </w:p>
    <w:p>
      <w:pPr>
        <w:spacing w:line="560" w:lineRule="exact"/>
        <w:ind w:firstLine="560" w:firstLineChars="200"/>
        <w:rPr>
          <w:rStyle w:val="53"/>
          <w:rFonts w:ascii="仿宋_GB2312" w:eastAsia="仿宋_GB2312"/>
          <w:color w:val="000000"/>
          <w:kern w:val="0"/>
          <w:sz w:val="28"/>
          <w:szCs w:val="28"/>
        </w:rPr>
      </w:pPr>
      <w:r>
        <w:rPr>
          <w:rStyle w:val="53"/>
          <w:rFonts w:hint="eastAsia" w:ascii="仿宋_GB2312" w:eastAsia="仿宋_GB2312"/>
          <w:color w:val="000000"/>
          <w:kern w:val="0"/>
          <w:sz w:val="28"/>
          <w:szCs w:val="28"/>
        </w:rPr>
        <w:t>合同签订后，</w:t>
      </w:r>
      <w:r>
        <w:rPr>
          <w:rFonts w:hint="eastAsia" w:ascii="仿宋" w:hAnsi="仿宋" w:eastAsia="仿宋" w:cs="仿宋"/>
          <w:sz w:val="28"/>
          <w:szCs w:val="28"/>
        </w:rPr>
        <w:t>本项目</w:t>
      </w:r>
      <w:r>
        <w:rPr>
          <w:rFonts w:hint="eastAsia" w:ascii="仿宋" w:hAnsi="仿宋" w:eastAsia="仿宋" w:cs="仿宋"/>
          <w:sz w:val="28"/>
          <w:szCs w:val="28"/>
          <w:lang w:eastAsia="zh-CN"/>
        </w:rPr>
        <w:t>无</w:t>
      </w:r>
      <w:r>
        <w:rPr>
          <w:rFonts w:hint="eastAsia" w:ascii="仿宋" w:hAnsi="仿宋" w:eastAsia="仿宋" w:cs="仿宋"/>
          <w:sz w:val="28"/>
          <w:szCs w:val="28"/>
        </w:rPr>
        <w:t>预付</w:t>
      </w:r>
      <w:r>
        <w:rPr>
          <w:rStyle w:val="53"/>
          <w:rFonts w:hint="eastAsia" w:ascii="仿宋_GB2312" w:eastAsia="仿宋_GB2312"/>
          <w:color w:val="000000"/>
          <w:kern w:val="0"/>
          <w:sz w:val="28"/>
          <w:szCs w:val="28"/>
        </w:rPr>
        <w:t>合同</w:t>
      </w:r>
      <w:r>
        <w:rPr>
          <w:rFonts w:hint="eastAsia" w:ascii="仿宋" w:hAnsi="仿宋" w:eastAsia="仿宋" w:cs="仿宋"/>
          <w:sz w:val="28"/>
          <w:szCs w:val="28"/>
        </w:rPr>
        <w:t>款项</w:t>
      </w:r>
      <w:r>
        <w:rPr>
          <w:rFonts w:hint="eastAsia" w:ascii="宋体"/>
          <w:sz w:val="24"/>
        </w:rPr>
        <w:t>；</w:t>
      </w:r>
      <w:r>
        <w:rPr>
          <w:rStyle w:val="53"/>
          <w:rFonts w:hint="eastAsia" w:ascii="仿宋_GB2312" w:eastAsia="仿宋_GB2312"/>
          <w:color w:val="000000"/>
          <w:kern w:val="0"/>
          <w:sz w:val="28"/>
          <w:szCs w:val="28"/>
        </w:rPr>
        <w:t>成交供应商安装、调试以及最终验收合格后，采购人再支付合同款的</w:t>
      </w:r>
      <w:r>
        <w:rPr>
          <w:rStyle w:val="53"/>
          <w:rFonts w:hint="eastAsia" w:ascii="仿宋_GB2312" w:eastAsia="仿宋_GB2312"/>
          <w:color w:val="000000"/>
          <w:kern w:val="0"/>
          <w:sz w:val="28"/>
          <w:szCs w:val="28"/>
          <w:lang w:val="en-US"/>
        </w:rPr>
        <w:t>100</w:t>
      </w:r>
      <w:r>
        <w:rPr>
          <w:rStyle w:val="53"/>
          <w:rFonts w:hint="eastAsia" w:ascii="仿宋_GB2312" w:eastAsia="仿宋_GB2312"/>
          <w:color w:val="000000"/>
          <w:kern w:val="0"/>
          <w:sz w:val="28"/>
          <w:szCs w:val="28"/>
        </w:rPr>
        <w:t>%给成交供应商。</w:t>
      </w:r>
    </w:p>
    <w:p>
      <w:pPr>
        <w:spacing w:line="560" w:lineRule="exact"/>
        <w:ind w:firstLine="562" w:firstLineChars="200"/>
        <w:rPr>
          <w:rStyle w:val="53"/>
          <w:rFonts w:ascii="仿宋_GB2312" w:eastAsia="仿宋_GB2312"/>
          <w:b/>
          <w:bCs/>
          <w:color w:val="000000"/>
          <w:kern w:val="0"/>
          <w:sz w:val="28"/>
          <w:szCs w:val="28"/>
        </w:rPr>
      </w:pPr>
      <w:r>
        <w:rPr>
          <w:rStyle w:val="53"/>
          <w:rFonts w:hint="eastAsia" w:ascii="仿宋_GB2312" w:eastAsia="仿宋_GB2312"/>
          <w:b/>
          <w:bCs/>
          <w:color w:val="000000"/>
          <w:kern w:val="0"/>
          <w:sz w:val="28"/>
          <w:szCs w:val="28"/>
          <w:lang w:val="en-US"/>
        </w:rPr>
        <w:t>6</w:t>
      </w:r>
      <w:r>
        <w:rPr>
          <w:rStyle w:val="53"/>
          <w:rFonts w:hint="eastAsia" w:ascii="仿宋_GB2312" w:eastAsia="仿宋_GB2312"/>
          <w:b/>
          <w:bCs/>
          <w:color w:val="000000"/>
          <w:kern w:val="0"/>
          <w:sz w:val="28"/>
          <w:szCs w:val="28"/>
        </w:rPr>
        <w:t>、质量保证和售后服务要求</w:t>
      </w:r>
    </w:p>
    <w:p>
      <w:pPr>
        <w:spacing w:line="560" w:lineRule="exact"/>
        <w:ind w:firstLine="560" w:firstLineChars="200"/>
        <w:rPr>
          <w:rStyle w:val="53"/>
          <w:rFonts w:ascii="仿宋_GB2312" w:eastAsia="仿宋_GB2312"/>
          <w:color w:val="000000"/>
          <w:kern w:val="0"/>
          <w:sz w:val="28"/>
          <w:szCs w:val="28"/>
        </w:rPr>
      </w:pPr>
      <w:r>
        <w:rPr>
          <w:rStyle w:val="53"/>
          <w:rFonts w:hint="eastAsia" w:ascii="仿宋_GB2312" w:eastAsia="仿宋_GB2312"/>
          <w:color w:val="000000"/>
          <w:kern w:val="0"/>
          <w:sz w:val="28"/>
          <w:szCs w:val="28"/>
        </w:rPr>
        <w:t>（1）成交供应商在发货之前，应对货物的有关内在和外观质量、规格、性能数量和重量进行准确的和全面的检验，货物必须符合或优于国家（行业）现行标准，以及本项目招标文件的质量要求和技术指标与出厂标准，并出具产品使用说明书。</w:t>
      </w:r>
    </w:p>
    <w:p>
      <w:pPr>
        <w:spacing w:line="560" w:lineRule="exact"/>
        <w:ind w:firstLine="560" w:firstLineChars="200"/>
        <w:rPr>
          <w:rStyle w:val="53"/>
          <w:rFonts w:hint="eastAsia" w:ascii="仿宋_GB2312" w:eastAsia="仿宋_GB2312"/>
          <w:color w:val="000000"/>
          <w:kern w:val="0"/>
          <w:sz w:val="28"/>
          <w:szCs w:val="28"/>
        </w:rPr>
      </w:pPr>
      <w:r>
        <w:rPr>
          <w:rStyle w:val="53"/>
          <w:rFonts w:hint="eastAsia" w:ascii="仿宋_GB2312" w:eastAsia="仿宋_GB2312"/>
          <w:color w:val="000000"/>
          <w:kern w:val="0"/>
          <w:sz w:val="28"/>
          <w:szCs w:val="28"/>
        </w:rPr>
        <w:t>（2）在最终验收前的实施过程中，货物的安全等问题均由成交供应商负责。货物到场后由成交供应商自行保管。</w:t>
      </w:r>
    </w:p>
    <w:p>
      <w:pPr>
        <w:spacing w:line="560" w:lineRule="exact"/>
        <w:ind w:firstLine="560" w:firstLineChars="200"/>
        <w:rPr>
          <w:rStyle w:val="53"/>
          <w:rFonts w:ascii="仿宋_GB2312" w:eastAsia="仿宋_GB2312"/>
          <w:kern w:val="0"/>
          <w:sz w:val="28"/>
          <w:szCs w:val="28"/>
        </w:rPr>
      </w:pPr>
      <w:r>
        <w:rPr>
          <w:rStyle w:val="53"/>
          <w:rFonts w:hint="eastAsia" w:ascii="仿宋_GB2312" w:eastAsia="仿宋_GB2312"/>
          <w:color w:val="000000"/>
          <w:kern w:val="0"/>
          <w:sz w:val="28"/>
          <w:szCs w:val="28"/>
        </w:rPr>
        <w:t>（3）自采购方签署验收合格证书之日起，成交供应商提供1年质量保证期。</w:t>
      </w:r>
      <w:r>
        <w:rPr>
          <w:rStyle w:val="53"/>
          <w:rFonts w:hint="eastAsia" w:ascii="仿宋_GB2312" w:eastAsia="仿宋_GB2312"/>
          <w:kern w:val="0"/>
          <w:sz w:val="28"/>
          <w:szCs w:val="28"/>
        </w:rPr>
        <w:t>在质量保证期内应提供</w:t>
      </w:r>
      <w:r>
        <w:rPr>
          <w:rStyle w:val="53"/>
          <w:rFonts w:hint="eastAsia" w:ascii="仿宋_GB2312" w:eastAsia="仿宋_GB2312"/>
          <w:color w:val="000000"/>
          <w:kern w:val="0"/>
          <w:sz w:val="28"/>
          <w:szCs w:val="28"/>
        </w:rPr>
        <w:t>免费</w:t>
      </w:r>
      <w:r>
        <w:rPr>
          <w:rStyle w:val="53"/>
          <w:rFonts w:hint="eastAsia" w:ascii="仿宋_GB2312" w:eastAsia="仿宋_GB2312"/>
          <w:kern w:val="0"/>
          <w:sz w:val="28"/>
          <w:szCs w:val="28"/>
        </w:rPr>
        <w:t>维修和技术咨询服务，免费矫正和更换本次项目采购有缺陷的设备或部件。</w:t>
      </w:r>
    </w:p>
    <w:p>
      <w:pPr>
        <w:spacing w:line="560" w:lineRule="exact"/>
        <w:ind w:firstLine="560" w:firstLineChars="200"/>
        <w:rPr>
          <w:rStyle w:val="53"/>
          <w:rFonts w:ascii="仿宋_GB2312" w:eastAsia="仿宋_GB2312"/>
          <w:color w:val="000000"/>
          <w:kern w:val="0"/>
          <w:sz w:val="28"/>
          <w:szCs w:val="28"/>
        </w:rPr>
      </w:pPr>
      <w:r>
        <w:rPr>
          <w:rStyle w:val="53"/>
          <w:rFonts w:hint="eastAsia" w:ascii="仿宋_GB2312" w:eastAsia="仿宋_GB2312"/>
          <w:color w:val="000000"/>
          <w:kern w:val="0"/>
          <w:sz w:val="28"/>
          <w:szCs w:val="28"/>
        </w:rPr>
        <w:t>（4）在合同规定的质保期内，如发现货物的质量或规格与本合同规定不符，或证明货物有缺陷，包括潜在的缺陷或使用不合适的原材料或器件等，采购人保留成交供应商提出索赔的权利。</w:t>
      </w:r>
    </w:p>
    <w:p>
      <w:pPr>
        <w:spacing w:line="560" w:lineRule="exact"/>
        <w:ind w:firstLine="562" w:firstLineChars="200"/>
        <w:rPr>
          <w:rStyle w:val="53"/>
          <w:rFonts w:ascii="仿宋_GB2312" w:eastAsia="仿宋_GB2312"/>
          <w:b/>
          <w:bCs/>
          <w:color w:val="000000"/>
          <w:kern w:val="0"/>
          <w:sz w:val="28"/>
          <w:szCs w:val="28"/>
        </w:rPr>
      </w:pPr>
      <w:r>
        <w:rPr>
          <w:rStyle w:val="53"/>
          <w:rFonts w:hint="eastAsia" w:ascii="仿宋_GB2312" w:eastAsia="仿宋_GB2312"/>
          <w:b/>
          <w:bCs/>
          <w:color w:val="000000"/>
          <w:kern w:val="0"/>
          <w:sz w:val="28"/>
          <w:szCs w:val="28"/>
          <w:lang w:val="en-US"/>
        </w:rPr>
        <w:t>7</w:t>
      </w:r>
      <w:r>
        <w:rPr>
          <w:rStyle w:val="53"/>
          <w:rFonts w:hint="eastAsia" w:ascii="仿宋_GB2312" w:eastAsia="仿宋_GB2312"/>
          <w:b/>
          <w:bCs/>
          <w:color w:val="000000"/>
          <w:kern w:val="0"/>
          <w:sz w:val="28"/>
          <w:szCs w:val="28"/>
        </w:rPr>
        <w:t>、验收方法与标准：</w:t>
      </w:r>
    </w:p>
    <w:p>
      <w:pPr>
        <w:spacing w:line="560" w:lineRule="exact"/>
        <w:ind w:firstLine="560" w:firstLineChars="200"/>
        <w:rPr>
          <w:rStyle w:val="53"/>
          <w:rFonts w:ascii="仿宋_GB2312" w:eastAsia="仿宋_GB2312"/>
          <w:color w:val="000000"/>
          <w:kern w:val="0"/>
          <w:sz w:val="28"/>
          <w:szCs w:val="28"/>
        </w:rPr>
      </w:pPr>
      <w:r>
        <w:rPr>
          <w:rStyle w:val="53"/>
          <w:rFonts w:hint="eastAsia" w:ascii="仿宋_GB2312" w:eastAsia="仿宋_GB2312"/>
          <w:color w:val="000000"/>
          <w:kern w:val="0"/>
          <w:sz w:val="28"/>
          <w:szCs w:val="28"/>
        </w:rPr>
        <w:t>按国家有关规定、采购文件的服务要求和商务要求、成交供应商的响应文件及承诺以及合同约定标准进行验收。</w:t>
      </w:r>
    </w:p>
    <w:p>
      <w:pPr>
        <w:spacing w:line="560" w:lineRule="exact"/>
        <w:ind w:firstLine="562" w:firstLineChars="200"/>
        <w:rPr>
          <w:rStyle w:val="53"/>
          <w:rFonts w:hint="eastAsia" w:ascii="仿宋_GB2312" w:hAnsi="Times New Roman" w:eastAsia="仿宋_GB2312"/>
          <w:b/>
          <w:bCs/>
          <w:color w:val="000000"/>
          <w:kern w:val="0"/>
          <w:sz w:val="28"/>
          <w:szCs w:val="28"/>
          <w:lang w:val="zh-CN"/>
        </w:rPr>
      </w:pPr>
      <w:r>
        <w:rPr>
          <w:rStyle w:val="53"/>
          <w:rFonts w:hint="eastAsia" w:ascii="仿宋_GB2312" w:hAnsi="Times New Roman" w:eastAsia="仿宋_GB2312"/>
          <w:b/>
          <w:bCs/>
          <w:color w:val="000000"/>
          <w:kern w:val="0"/>
          <w:sz w:val="28"/>
          <w:szCs w:val="28"/>
          <w:lang w:val="en-US"/>
        </w:rPr>
        <w:t>8</w:t>
      </w:r>
      <w:r>
        <w:rPr>
          <w:rStyle w:val="53"/>
          <w:rFonts w:hint="eastAsia" w:ascii="仿宋_GB2312" w:hAnsi="Times New Roman" w:eastAsia="仿宋_GB2312"/>
          <w:b/>
          <w:bCs/>
          <w:color w:val="000000"/>
          <w:kern w:val="0"/>
          <w:sz w:val="28"/>
          <w:szCs w:val="28"/>
          <w:lang w:val="zh-CN"/>
        </w:rPr>
        <w:t>、违约责任：</w:t>
      </w:r>
    </w:p>
    <w:p>
      <w:pPr>
        <w:spacing w:line="560" w:lineRule="exact"/>
        <w:ind w:firstLine="660" w:firstLineChars="236"/>
        <w:rPr>
          <w:rStyle w:val="53"/>
          <w:rFonts w:eastAsia="仿宋_GB2312"/>
          <w:color w:val="000000"/>
          <w:kern w:val="0"/>
          <w:sz w:val="28"/>
          <w:szCs w:val="28"/>
        </w:rPr>
      </w:pPr>
      <w:r>
        <w:rPr>
          <w:rStyle w:val="53"/>
          <w:rFonts w:hint="eastAsia" w:eastAsia="仿宋_GB2312"/>
          <w:color w:val="000000"/>
          <w:kern w:val="0"/>
          <w:sz w:val="28"/>
          <w:szCs w:val="28"/>
        </w:rPr>
        <w:t>（1）甲乙双方必须遵守本合同并执行合同中的各项规定，保证本合同的正常履行。</w:t>
      </w:r>
    </w:p>
    <w:p>
      <w:pPr>
        <w:spacing w:line="560" w:lineRule="exact"/>
        <w:ind w:firstLine="660" w:firstLineChars="236"/>
        <w:rPr>
          <w:rStyle w:val="53"/>
          <w:rFonts w:ascii="仿宋_GB2312" w:eastAsia="仿宋_GB2312"/>
          <w:color w:val="000000"/>
          <w:kern w:val="0"/>
          <w:sz w:val="28"/>
          <w:szCs w:val="28"/>
        </w:rPr>
      </w:pPr>
      <w:r>
        <w:rPr>
          <w:rStyle w:val="53"/>
          <w:rFonts w:hint="eastAsia" w:eastAsia="仿宋_GB2312"/>
          <w:color w:val="000000"/>
          <w:kern w:val="0"/>
          <w:sz w:val="28"/>
          <w:szCs w:val="28"/>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spacing w:line="560" w:lineRule="exact"/>
        <w:ind w:firstLine="562" w:firstLineChars="200"/>
        <w:rPr>
          <w:rStyle w:val="53"/>
          <w:rFonts w:ascii="仿宋_GB2312" w:eastAsia="仿宋_GB2312"/>
          <w:color w:val="000000"/>
          <w:kern w:val="0"/>
          <w:sz w:val="28"/>
          <w:szCs w:val="28"/>
          <w:lang w:val="zh-CN"/>
        </w:rPr>
      </w:pPr>
      <w:r>
        <w:rPr>
          <w:rStyle w:val="53"/>
          <w:rFonts w:hint="eastAsia" w:ascii="仿宋_GB2312" w:eastAsia="仿宋_GB2312"/>
          <w:b/>
          <w:bCs/>
          <w:color w:val="000000"/>
          <w:kern w:val="0"/>
          <w:sz w:val="28"/>
          <w:szCs w:val="28"/>
          <w:lang w:val="en-US"/>
        </w:rPr>
        <w:t>9</w:t>
      </w:r>
      <w:r>
        <w:rPr>
          <w:rStyle w:val="53"/>
          <w:rFonts w:hint="eastAsia" w:ascii="仿宋_GB2312" w:eastAsia="仿宋_GB2312"/>
          <w:b/>
          <w:bCs/>
          <w:color w:val="000000"/>
          <w:kern w:val="0"/>
          <w:sz w:val="28"/>
          <w:szCs w:val="28"/>
          <w:lang w:val="zh-CN"/>
        </w:rPr>
        <w:t>、解决争议的方式</w:t>
      </w:r>
      <w:r>
        <w:rPr>
          <w:rStyle w:val="53"/>
          <w:rFonts w:hint="eastAsia" w:ascii="仿宋_GB2312" w:eastAsia="仿宋_GB2312"/>
          <w:color w:val="000000"/>
          <w:kern w:val="0"/>
          <w:sz w:val="28"/>
          <w:szCs w:val="28"/>
          <w:lang w:val="zh-CN"/>
        </w:rPr>
        <w:t>：在本协议的履行过程中发生的与本协议有关的争议，双方承诺通过友好协商解决。协商不成的，双方同意将争议提交服务地点所在地有管辖权的人民法院通过诉讼方式解决。</w:t>
      </w:r>
    </w:p>
    <w:p>
      <w:pPr>
        <w:widowControl/>
        <w:jc w:val="left"/>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8C9716AB-2C4F-4CFC-BFAA-D51ABFB0CCB4}"/>
  </w:font>
  <w:font w:name="微软雅黑">
    <w:panose1 w:val="020B0503020204020204"/>
    <w:charset w:val="86"/>
    <w:family w:val="swiss"/>
    <w:pitch w:val="default"/>
    <w:sig w:usb0="80000287" w:usb1="2ACF3C50" w:usb2="00000016" w:usb3="00000000" w:csb0="0004001F" w:csb1="00000000"/>
  </w:font>
  <w:font w:name="楷体à.ā">
    <w:altName w:val="宋体"/>
    <w:panose1 w:val="00000000000000000000"/>
    <w:charset w:val="86"/>
    <w:family w:val="decorative"/>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00000" w:csb1="00000000"/>
    <w:embedRegular r:id="rId2" w:fontKey="{A811D55E-0F19-4F0C-ABCE-697C30D21146}"/>
  </w:font>
  <w:font w:name="仿宋">
    <w:panose1 w:val="02010609060101010101"/>
    <w:charset w:val="86"/>
    <w:family w:val="auto"/>
    <w:pitch w:val="default"/>
    <w:sig w:usb0="800002BF" w:usb1="38CF7CFA" w:usb2="00000016" w:usb3="00000000" w:csb0="00040001" w:csb1="00000000"/>
    <w:embedRegular r:id="rId3" w:fontKey="{9961FFFC-6342-4EA8-A9AA-588966C6BC5F}"/>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00000001" w:usb1="08000000" w:usb2="00000000" w:usb3="00000000" w:csb0="00040000" w:csb1="00000000"/>
    <w:embedRegular r:id="rId4" w:fontKey="{C824403B-120A-497D-9F54-7D36B4B6C42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A9D509"/>
    <w:multiLevelType w:val="multilevel"/>
    <w:tmpl w:val="23A9D509"/>
    <w:lvl w:ilvl="0" w:tentative="0">
      <w:start w:val="1"/>
      <w:numFmt w:val="chineseCountingThousand"/>
      <w:pStyle w:val="3"/>
      <w:suff w:val="nothing"/>
      <w:lvlText w:val="第%1章"/>
      <w:lvlJc w:val="left"/>
      <w:pPr>
        <w:ind w:left="3687" w:firstLine="0"/>
      </w:pPr>
      <w:rPr>
        <w:rFonts w:hint="eastAsia"/>
      </w:rPr>
    </w:lvl>
    <w:lvl w:ilvl="1" w:tentative="0">
      <w:start w:val="1"/>
      <w:numFmt w:val="decimal"/>
      <w:isLgl/>
      <w:suff w:val="nothing"/>
      <w:lvlText w:val="%1.%2"/>
      <w:lvlJc w:val="left"/>
      <w:pPr>
        <w:ind w:left="3687"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pStyle w:val="5"/>
      <w:isLgl/>
      <w:suff w:val="nothing"/>
      <w:lvlText w:val="%1.%2.%3"/>
      <w:lvlJc w:val="left"/>
      <w:pPr>
        <w:ind w:left="3687" w:firstLine="0"/>
      </w:pPr>
      <w:rPr>
        <w:rFonts w:hint="eastAsia"/>
      </w:rPr>
    </w:lvl>
    <w:lvl w:ilvl="3" w:tentative="0">
      <w:start w:val="1"/>
      <w:numFmt w:val="decimal"/>
      <w:lvlRestart w:val="2"/>
      <w:isLgl/>
      <w:suff w:val="nothing"/>
      <w:lvlText w:val="%1.%2.%3.%4"/>
      <w:lvlJc w:val="left"/>
      <w:pPr>
        <w:ind w:left="710"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isLgl/>
      <w:suff w:val="nothing"/>
      <w:lvlText w:val="%1.%2.%3.%4.%5"/>
      <w:lvlJc w:val="left"/>
      <w:pPr>
        <w:ind w:left="3687" w:firstLine="0"/>
      </w:pPr>
      <w:rPr>
        <w:rFonts w:hint="eastAsia"/>
      </w:rPr>
    </w:lvl>
    <w:lvl w:ilvl="5" w:tentative="0">
      <w:start w:val="1"/>
      <w:numFmt w:val="decimal"/>
      <w:isLgl/>
      <w:suff w:val="nothing"/>
      <w:lvlText w:val="%1.%2.%3.%4.%5.%6"/>
      <w:lvlJc w:val="left"/>
      <w:pPr>
        <w:ind w:left="3687"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6" w:tentative="0">
      <w:start w:val="1"/>
      <w:numFmt w:val="decimal"/>
      <w:isLgl/>
      <w:suff w:val="nothing"/>
      <w:lvlText w:val="%1.%2.%3.%4.%5.%6.%7"/>
      <w:lvlJc w:val="left"/>
      <w:pPr>
        <w:ind w:left="3687"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7" w:tentative="0">
      <w:start w:val="1"/>
      <w:numFmt w:val="decimal"/>
      <w:isLgl/>
      <w:suff w:val="nothing"/>
      <w:lvlText w:val="%1.%2.%3.%4.%5.%6.%7.%8"/>
      <w:lvlJc w:val="left"/>
      <w:pPr>
        <w:ind w:left="3687" w:firstLine="0"/>
      </w:pPr>
      <w:rPr>
        <w:rFonts w:hint="eastAsia"/>
      </w:rPr>
    </w:lvl>
    <w:lvl w:ilvl="8" w:tentative="0">
      <w:start w:val="1"/>
      <w:numFmt w:val="decimal"/>
      <w:isLgl/>
      <w:suff w:val="nothing"/>
      <w:lvlText w:val="%1.%2.%3.%4.%5.%6.%7.%8.%9"/>
      <w:lvlJc w:val="left"/>
      <w:pPr>
        <w:ind w:left="3687"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F2E"/>
    <w:rsid w:val="00001147"/>
    <w:rsid w:val="00006D90"/>
    <w:rsid w:val="00007722"/>
    <w:rsid w:val="00021BBC"/>
    <w:rsid w:val="0002306D"/>
    <w:rsid w:val="00044E87"/>
    <w:rsid w:val="00050502"/>
    <w:rsid w:val="00082AC8"/>
    <w:rsid w:val="000A18F4"/>
    <w:rsid w:val="000A36A2"/>
    <w:rsid w:val="000A394F"/>
    <w:rsid w:val="000C1FFB"/>
    <w:rsid w:val="000C397D"/>
    <w:rsid w:val="000E4BC1"/>
    <w:rsid w:val="00120F6E"/>
    <w:rsid w:val="001357B6"/>
    <w:rsid w:val="00196641"/>
    <w:rsid w:val="001A66FF"/>
    <w:rsid w:val="001C4F0B"/>
    <w:rsid w:val="001E7898"/>
    <w:rsid w:val="001F7A46"/>
    <w:rsid w:val="00200F2E"/>
    <w:rsid w:val="00201BF1"/>
    <w:rsid w:val="0022570C"/>
    <w:rsid w:val="00234094"/>
    <w:rsid w:val="00254AA4"/>
    <w:rsid w:val="00286EE8"/>
    <w:rsid w:val="002873CE"/>
    <w:rsid w:val="0029023E"/>
    <w:rsid w:val="002B7BA3"/>
    <w:rsid w:val="002F61D3"/>
    <w:rsid w:val="003125FA"/>
    <w:rsid w:val="0031374D"/>
    <w:rsid w:val="00324B07"/>
    <w:rsid w:val="0036000D"/>
    <w:rsid w:val="0036639C"/>
    <w:rsid w:val="00383696"/>
    <w:rsid w:val="003944C3"/>
    <w:rsid w:val="003B3880"/>
    <w:rsid w:val="003C1263"/>
    <w:rsid w:val="003E7676"/>
    <w:rsid w:val="00417D62"/>
    <w:rsid w:val="00443627"/>
    <w:rsid w:val="0044734B"/>
    <w:rsid w:val="00453B21"/>
    <w:rsid w:val="00455F3A"/>
    <w:rsid w:val="00470DE9"/>
    <w:rsid w:val="00475968"/>
    <w:rsid w:val="00495605"/>
    <w:rsid w:val="004A02F7"/>
    <w:rsid w:val="004F3AFC"/>
    <w:rsid w:val="00502D97"/>
    <w:rsid w:val="00507577"/>
    <w:rsid w:val="00544DA9"/>
    <w:rsid w:val="00563C4D"/>
    <w:rsid w:val="00570E48"/>
    <w:rsid w:val="00597FAF"/>
    <w:rsid w:val="005A7C00"/>
    <w:rsid w:val="005C3865"/>
    <w:rsid w:val="005F54D8"/>
    <w:rsid w:val="00605D44"/>
    <w:rsid w:val="00645C59"/>
    <w:rsid w:val="00696FC3"/>
    <w:rsid w:val="006D4B5A"/>
    <w:rsid w:val="006E39C4"/>
    <w:rsid w:val="0071322B"/>
    <w:rsid w:val="00714DE3"/>
    <w:rsid w:val="00720885"/>
    <w:rsid w:val="00721184"/>
    <w:rsid w:val="00721F81"/>
    <w:rsid w:val="00737C0D"/>
    <w:rsid w:val="00753A62"/>
    <w:rsid w:val="007676A4"/>
    <w:rsid w:val="00797E9C"/>
    <w:rsid w:val="007A07F0"/>
    <w:rsid w:val="007C1DC2"/>
    <w:rsid w:val="007C23D0"/>
    <w:rsid w:val="007D1DFF"/>
    <w:rsid w:val="007D4FB8"/>
    <w:rsid w:val="00810A67"/>
    <w:rsid w:val="0082229F"/>
    <w:rsid w:val="00850E2C"/>
    <w:rsid w:val="008B1070"/>
    <w:rsid w:val="008B28B3"/>
    <w:rsid w:val="008C4A65"/>
    <w:rsid w:val="008D40A6"/>
    <w:rsid w:val="00935831"/>
    <w:rsid w:val="00941EDF"/>
    <w:rsid w:val="0095085F"/>
    <w:rsid w:val="00966947"/>
    <w:rsid w:val="009939CF"/>
    <w:rsid w:val="009D7E1F"/>
    <w:rsid w:val="009E29BD"/>
    <w:rsid w:val="009E476A"/>
    <w:rsid w:val="009E4A28"/>
    <w:rsid w:val="00A078C6"/>
    <w:rsid w:val="00A22C93"/>
    <w:rsid w:val="00A53EA3"/>
    <w:rsid w:val="00A83BFA"/>
    <w:rsid w:val="00A91BD8"/>
    <w:rsid w:val="00A93CE3"/>
    <w:rsid w:val="00AA1F2A"/>
    <w:rsid w:val="00AA3581"/>
    <w:rsid w:val="00AB74DC"/>
    <w:rsid w:val="00AC4BB8"/>
    <w:rsid w:val="00AD267E"/>
    <w:rsid w:val="00AD28C0"/>
    <w:rsid w:val="00AE5EC5"/>
    <w:rsid w:val="00AF079D"/>
    <w:rsid w:val="00AF0F41"/>
    <w:rsid w:val="00B130B5"/>
    <w:rsid w:val="00B62FEC"/>
    <w:rsid w:val="00B827A6"/>
    <w:rsid w:val="00BB5ABB"/>
    <w:rsid w:val="00BC161F"/>
    <w:rsid w:val="00BC3377"/>
    <w:rsid w:val="00BD52B3"/>
    <w:rsid w:val="00BD7FA1"/>
    <w:rsid w:val="00BE6D3C"/>
    <w:rsid w:val="00C06FED"/>
    <w:rsid w:val="00C26E81"/>
    <w:rsid w:val="00C4673A"/>
    <w:rsid w:val="00C90755"/>
    <w:rsid w:val="00CB2D4A"/>
    <w:rsid w:val="00CB65FE"/>
    <w:rsid w:val="00CB6ADA"/>
    <w:rsid w:val="00CD176E"/>
    <w:rsid w:val="00CD65D4"/>
    <w:rsid w:val="00D0046F"/>
    <w:rsid w:val="00D11C3D"/>
    <w:rsid w:val="00D22673"/>
    <w:rsid w:val="00D31DB3"/>
    <w:rsid w:val="00D31DEB"/>
    <w:rsid w:val="00D7398A"/>
    <w:rsid w:val="00D933C4"/>
    <w:rsid w:val="00DA2C33"/>
    <w:rsid w:val="00DB1EB5"/>
    <w:rsid w:val="00DC20F6"/>
    <w:rsid w:val="00E13428"/>
    <w:rsid w:val="00E1476C"/>
    <w:rsid w:val="00E326CC"/>
    <w:rsid w:val="00E41B04"/>
    <w:rsid w:val="00E4634B"/>
    <w:rsid w:val="00E87A42"/>
    <w:rsid w:val="00E90CF1"/>
    <w:rsid w:val="00E91D9C"/>
    <w:rsid w:val="00EB1B9D"/>
    <w:rsid w:val="00EE7028"/>
    <w:rsid w:val="00F05F25"/>
    <w:rsid w:val="00F1194E"/>
    <w:rsid w:val="00F326C7"/>
    <w:rsid w:val="00F36F09"/>
    <w:rsid w:val="00F45B71"/>
    <w:rsid w:val="00F65160"/>
    <w:rsid w:val="00F66089"/>
    <w:rsid w:val="00FB7B05"/>
    <w:rsid w:val="00FD2804"/>
    <w:rsid w:val="00FD2E86"/>
    <w:rsid w:val="00FD3D4D"/>
    <w:rsid w:val="00FD7523"/>
    <w:rsid w:val="04DE3255"/>
    <w:rsid w:val="056C0659"/>
    <w:rsid w:val="05EB7F64"/>
    <w:rsid w:val="06327D5C"/>
    <w:rsid w:val="06B449DB"/>
    <w:rsid w:val="0737050C"/>
    <w:rsid w:val="07FF107E"/>
    <w:rsid w:val="0ACD147A"/>
    <w:rsid w:val="0B397495"/>
    <w:rsid w:val="0B604310"/>
    <w:rsid w:val="0BD00D1D"/>
    <w:rsid w:val="0CA84F84"/>
    <w:rsid w:val="0CE77B30"/>
    <w:rsid w:val="0D3F4768"/>
    <w:rsid w:val="0D6540AB"/>
    <w:rsid w:val="0F2F1C63"/>
    <w:rsid w:val="0F661110"/>
    <w:rsid w:val="103452D9"/>
    <w:rsid w:val="10700A1B"/>
    <w:rsid w:val="1155793B"/>
    <w:rsid w:val="11C220DC"/>
    <w:rsid w:val="12F27EDA"/>
    <w:rsid w:val="12F539E2"/>
    <w:rsid w:val="13517C33"/>
    <w:rsid w:val="13A96C16"/>
    <w:rsid w:val="16B8495A"/>
    <w:rsid w:val="19CE79C9"/>
    <w:rsid w:val="1A0405E6"/>
    <w:rsid w:val="1CB828F5"/>
    <w:rsid w:val="1CFE700F"/>
    <w:rsid w:val="1D010FA3"/>
    <w:rsid w:val="1D7E28B1"/>
    <w:rsid w:val="1FC03EB5"/>
    <w:rsid w:val="228A08A4"/>
    <w:rsid w:val="22FC4926"/>
    <w:rsid w:val="241A21D9"/>
    <w:rsid w:val="24DD521D"/>
    <w:rsid w:val="24F25B91"/>
    <w:rsid w:val="253F405F"/>
    <w:rsid w:val="277E0CC4"/>
    <w:rsid w:val="29995BDB"/>
    <w:rsid w:val="2A52398A"/>
    <w:rsid w:val="2AE81BC2"/>
    <w:rsid w:val="2B6E5EF1"/>
    <w:rsid w:val="2BF44EC7"/>
    <w:rsid w:val="2C0A713C"/>
    <w:rsid w:val="2C4D5F32"/>
    <w:rsid w:val="2D2A3292"/>
    <w:rsid w:val="2E451BDE"/>
    <w:rsid w:val="2E5D53FD"/>
    <w:rsid w:val="2E6376EB"/>
    <w:rsid w:val="30995202"/>
    <w:rsid w:val="30D65A5A"/>
    <w:rsid w:val="31274E63"/>
    <w:rsid w:val="32A51D6D"/>
    <w:rsid w:val="33C41289"/>
    <w:rsid w:val="36141CBD"/>
    <w:rsid w:val="36531FD4"/>
    <w:rsid w:val="36552ABB"/>
    <w:rsid w:val="3AD91466"/>
    <w:rsid w:val="3AEA295B"/>
    <w:rsid w:val="3B5F2742"/>
    <w:rsid w:val="3D4A2637"/>
    <w:rsid w:val="3E401242"/>
    <w:rsid w:val="3EFD39CC"/>
    <w:rsid w:val="3FFE2007"/>
    <w:rsid w:val="42E24D9F"/>
    <w:rsid w:val="4306572E"/>
    <w:rsid w:val="441D24EA"/>
    <w:rsid w:val="4655326C"/>
    <w:rsid w:val="48404184"/>
    <w:rsid w:val="4980465F"/>
    <w:rsid w:val="4AB50E71"/>
    <w:rsid w:val="4ADC3031"/>
    <w:rsid w:val="4B6A5957"/>
    <w:rsid w:val="4CD42174"/>
    <w:rsid w:val="4D4A5463"/>
    <w:rsid w:val="4DF11C48"/>
    <w:rsid w:val="4E6405B6"/>
    <w:rsid w:val="4F765788"/>
    <w:rsid w:val="503A24B4"/>
    <w:rsid w:val="509456D2"/>
    <w:rsid w:val="513F0BC6"/>
    <w:rsid w:val="51AD28DE"/>
    <w:rsid w:val="524941C4"/>
    <w:rsid w:val="529C12BE"/>
    <w:rsid w:val="54AA04DB"/>
    <w:rsid w:val="54D13163"/>
    <w:rsid w:val="551200D2"/>
    <w:rsid w:val="5521687C"/>
    <w:rsid w:val="56134BED"/>
    <w:rsid w:val="583F299D"/>
    <w:rsid w:val="591277C5"/>
    <w:rsid w:val="5A5739B6"/>
    <w:rsid w:val="5ACD3F26"/>
    <w:rsid w:val="5B9B4D52"/>
    <w:rsid w:val="5BEE20D6"/>
    <w:rsid w:val="5BFD0F1B"/>
    <w:rsid w:val="5BFF0436"/>
    <w:rsid w:val="5C5D58AC"/>
    <w:rsid w:val="5C7D3CB6"/>
    <w:rsid w:val="5CC72DA5"/>
    <w:rsid w:val="5D085023"/>
    <w:rsid w:val="5D8E7FD9"/>
    <w:rsid w:val="5F386461"/>
    <w:rsid w:val="60214530"/>
    <w:rsid w:val="6069472B"/>
    <w:rsid w:val="60C33658"/>
    <w:rsid w:val="60E16C31"/>
    <w:rsid w:val="62B51749"/>
    <w:rsid w:val="62DC6813"/>
    <w:rsid w:val="63800070"/>
    <w:rsid w:val="64BE752D"/>
    <w:rsid w:val="65543D91"/>
    <w:rsid w:val="657F44A7"/>
    <w:rsid w:val="66294FB0"/>
    <w:rsid w:val="666739D7"/>
    <w:rsid w:val="66ED4BA2"/>
    <w:rsid w:val="69B91162"/>
    <w:rsid w:val="6BD315B9"/>
    <w:rsid w:val="6BE3540A"/>
    <w:rsid w:val="6CDB7B1E"/>
    <w:rsid w:val="6EC16C6F"/>
    <w:rsid w:val="6FCC1DDA"/>
    <w:rsid w:val="70F32398"/>
    <w:rsid w:val="71A7698D"/>
    <w:rsid w:val="71C81741"/>
    <w:rsid w:val="75142043"/>
    <w:rsid w:val="78331E38"/>
    <w:rsid w:val="78AA5FC9"/>
    <w:rsid w:val="798A15FB"/>
    <w:rsid w:val="799B3D16"/>
    <w:rsid w:val="7A404EF7"/>
    <w:rsid w:val="7AA65249"/>
    <w:rsid w:val="7B410522"/>
    <w:rsid w:val="7C827831"/>
    <w:rsid w:val="7D010D18"/>
    <w:rsid w:val="7DFE6514"/>
    <w:rsid w:val="7E2F236F"/>
    <w:rsid w:val="7E330573"/>
    <w:rsid w:val="7E4675BE"/>
    <w:rsid w:val="7F873B85"/>
    <w:rsid w:val="7FD92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numPr>
        <w:ilvl w:val="0"/>
        <w:numId w:val="1"/>
      </w:numPr>
      <w:spacing w:before="60" w:after="60"/>
      <w:ind w:left="1701"/>
      <w:jc w:val="left"/>
      <w:outlineLvl w:val="0"/>
    </w:pPr>
    <w:rPr>
      <w:rFonts w:ascii="微软雅黑" w:hAnsi="微软雅黑" w:eastAsia="微软雅黑"/>
      <w:b/>
      <w:bCs/>
      <w:kern w:val="44"/>
      <w:sz w:val="36"/>
      <w:szCs w:val="44"/>
    </w:rPr>
  </w:style>
  <w:style w:type="paragraph" w:styleId="4">
    <w:name w:val="heading 2"/>
    <w:basedOn w:val="1"/>
    <w:next w:val="1"/>
    <w:link w:val="31"/>
    <w:qFormat/>
    <w:uiPriority w:val="0"/>
    <w:pPr>
      <w:keepNext/>
      <w:keepLines/>
      <w:spacing w:before="260" w:after="260" w:line="412" w:lineRule="auto"/>
      <w:outlineLvl w:val="1"/>
    </w:pPr>
    <w:rPr>
      <w:rFonts w:ascii="Arial" w:hAnsi="Arial" w:eastAsia="黑体"/>
      <w:b/>
      <w:bCs/>
      <w:sz w:val="32"/>
      <w:szCs w:val="32"/>
    </w:rPr>
  </w:style>
  <w:style w:type="paragraph" w:styleId="5">
    <w:name w:val="heading 3"/>
    <w:basedOn w:val="1"/>
    <w:next w:val="1"/>
    <w:semiHidden/>
    <w:unhideWhenUsed/>
    <w:qFormat/>
    <w:uiPriority w:val="0"/>
    <w:pPr>
      <w:numPr>
        <w:ilvl w:val="2"/>
        <w:numId w:val="1"/>
      </w:numPr>
      <w:spacing w:before="140" w:after="120"/>
      <w:ind w:left="567"/>
      <w:outlineLvl w:val="2"/>
    </w:pPr>
    <w:rPr>
      <w:b/>
      <w:bCs/>
      <w:kern w:val="0"/>
      <w:sz w:val="32"/>
      <w:szCs w:val="32"/>
      <w:lang w:val="zh-CN"/>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styleId="6">
    <w:name w:val="Normal Indent"/>
    <w:basedOn w:val="1"/>
    <w:link w:val="50"/>
    <w:qFormat/>
    <w:uiPriority w:val="0"/>
    <w:pPr>
      <w:ind w:firstLine="200" w:firstLineChars="200"/>
    </w:pPr>
  </w:style>
  <w:style w:type="paragraph" w:styleId="7">
    <w:name w:val="annotation text"/>
    <w:basedOn w:val="1"/>
    <w:link w:val="48"/>
    <w:unhideWhenUsed/>
    <w:qFormat/>
    <w:uiPriority w:val="99"/>
    <w:pPr>
      <w:spacing w:line="360" w:lineRule="auto"/>
      <w:ind w:firstLine="200" w:firstLineChars="200"/>
      <w:jc w:val="left"/>
    </w:pPr>
    <w:rPr>
      <w:rFonts w:asciiTheme="minorHAnsi" w:hAnsiTheme="minorHAnsi" w:cstheme="minorBidi"/>
      <w:kern w:val="0"/>
      <w:sz w:val="28"/>
    </w:rPr>
  </w:style>
  <w:style w:type="paragraph" w:styleId="8">
    <w:name w:val="Body Text"/>
    <w:basedOn w:val="1"/>
    <w:next w:val="1"/>
    <w:link w:val="33"/>
    <w:qFormat/>
    <w:uiPriority w:val="0"/>
    <w:rPr>
      <w:rFonts w:eastAsia="Times New Roman"/>
      <w:sz w:val="28"/>
      <w:szCs w:val="20"/>
    </w:rPr>
  </w:style>
  <w:style w:type="paragraph" w:styleId="9">
    <w:name w:val="Body Text Indent"/>
    <w:basedOn w:val="1"/>
    <w:semiHidden/>
    <w:unhideWhenUsed/>
    <w:qFormat/>
    <w:uiPriority w:val="99"/>
    <w:pPr>
      <w:ind w:left="420" w:leftChars="200"/>
    </w:pPr>
  </w:style>
  <w:style w:type="paragraph" w:styleId="10">
    <w:name w:val="toc 3"/>
    <w:basedOn w:val="1"/>
    <w:next w:val="1"/>
    <w:unhideWhenUsed/>
    <w:qFormat/>
    <w:uiPriority w:val="39"/>
    <w:pPr>
      <w:ind w:left="840" w:leftChars="400"/>
    </w:pPr>
  </w:style>
  <w:style w:type="paragraph" w:styleId="11">
    <w:name w:val="Plain Text"/>
    <w:basedOn w:val="1"/>
    <w:link w:val="34"/>
    <w:qFormat/>
    <w:uiPriority w:val="0"/>
    <w:pPr>
      <w:autoSpaceDE w:val="0"/>
      <w:autoSpaceDN w:val="0"/>
      <w:adjustRightInd w:val="0"/>
    </w:pPr>
    <w:rPr>
      <w:rFonts w:ascii="宋体" w:hAnsi="Tms Rmn"/>
      <w:szCs w:val="21"/>
    </w:rPr>
  </w:style>
  <w:style w:type="paragraph" w:styleId="12">
    <w:name w:val="Body Text Indent 2"/>
    <w:basedOn w:val="1"/>
    <w:next w:val="1"/>
    <w:qFormat/>
    <w:uiPriority w:val="0"/>
    <w:pPr>
      <w:spacing w:after="120" w:line="480" w:lineRule="auto"/>
      <w:ind w:left="420" w:leftChars="200"/>
    </w:pPr>
    <w:rPr>
      <w:rFonts w:ascii="Times New Roman" w:hAnsi="Times New Roman"/>
    </w:rPr>
  </w:style>
  <w:style w:type="paragraph" w:styleId="13">
    <w:name w:val="Balloon Text"/>
    <w:basedOn w:val="1"/>
    <w:link w:val="46"/>
    <w:qFormat/>
    <w:uiPriority w:val="0"/>
    <w:rPr>
      <w:sz w:val="18"/>
      <w:szCs w:val="18"/>
    </w:rPr>
  </w:style>
  <w:style w:type="paragraph" w:styleId="14">
    <w:name w:val="footer"/>
    <w:basedOn w:val="1"/>
    <w:link w:val="42"/>
    <w:qFormat/>
    <w:uiPriority w:val="0"/>
    <w:pPr>
      <w:tabs>
        <w:tab w:val="center" w:pos="4153"/>
        <w:tab w:val="right" w:pos="8306"/>
      </w:tabs>
      <w:snapToGrid w:val="0"/>
      <w:jc w:val="left"/>
    </w:pPr>
    <w:rPr>
      <w:sz w:val="18"/>
      <w:szCs w:val="18"/>
    </w:rPr>
  </w:style>
  <w:style w:type="paragraph" w:styleId="15">
    <w:name w:val="header"/>
    <w:basedOn w:val="1"/>
    <w:link w:val="4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toc 2"/>
    <w:basedOn w:val="1"/>
    <w:next w:val="1"/>
    <w:unhideWhenUsed/>
    <w:qFormat/>
    <w:uiPriority w:val="39"/>
    <w:pPr>
      <w:ind w:left="420" w:leftChars="200"/>
    </w:pPr>
  </w:style>
  <w:style w:type="paragraph" w:styleId="18">
    <w:name w:val="Normal (Web)"/>
    <w:basedOn w:val="1"/>
    <w:qFormat/>
    <w:uiPriority w:val="0"/>
    <w:pPr>
      <w:spacing w:before="100" w:beforeAutospacing="1" w:after="100" w:afterAutospacing="1"/>
    </w:pPr>
    <w:rPr>
      <w:rFonts w:ascii="宋体" w:hAnsi="宋体" w:cs="宋体"/>
      <w:color w:val="0F0020"/>
      <w:sz w:val="24"/>
      <w:szCs w:val="24"/>
    </w:rPr>
  </w:style>
  <w:style w:type="paragraph" w:styleId="19">
    <w:name w:val="Title"/>
    <w:basedOn w:val="1"/>
    <w:next w:val="1"/>
    <w:link w:val="35"/>
    <w:qFormat/>
    <w:uiPriority w:val="0"/>
    <w:pPr>
      <w:widowControl/>
      <w:spacing w:before="240" w:after="60"/>
      <w:jc w:val="center"/>
      <w:outlineLvl w:val="0"/>
    </w:pPr>
    <w:rPr>
      <w:rFonts w:ascii="Cambria" w:hAnsi="Cambria" w:eastAsia="Times New Roman"/>
      <w:b/>
      <w:bCs/>
      <w:kern w:val="28"/>
      <w:sz w:val="32"/>
      <w:szCs w:val="32"/>
    </w:rPr>
  </w:style>
  <w:style w:type="paragraph" w:styleId="20">
    <w:name w:val="annotation subject"/>
    <w:basedOn w:val="7"/>
    <w:next w:val="7"/>
    <w:link w:val="51"/>
    <w:qFormat/>
    <w:uiPriority w:val="0"/>
    <w:pPr>
      <w:spacing w:line="240" w:lineRule="auto"/>
      <w:ind w:firstLine="0" w:firstLineChars="0"/>
    </w:pPr>
    <w:rPr>
      <w:rFonts w:ascii="Calibri" w:hAnsi="Calibri" w:cs="Times New Roman"/>
      <w:b/>
      <w:bCs/>
      <w:kern w:val="2"/>
      <w:sz w:val="21"/>
    </w:rPr>
  </w:style>
  <w:style w:type="paragraph" w:styleId="21">
    <w:name w:val="Body Text First Indent"/>
    <w:basedOn w:val="8"/>
    <w:qFormat/>
    <w:uiPriority w:val="0"/>
    <w:pPr>
      <w:ind w:firstLine="100" w:firstLineChars="100"/>
    </w:pPr>
  </w:style>
  <w:style w:type="paragraph" w:styleId="22">
    <w:name w:val="Body Text First Indent 2"/>
    <w:basedOn w:val="9"/>
    <w:semiHidden/>
    <w:unhideWhenUsed/>
    <w:qFormat/>
    <w:uiPriority w:val="99"/>
    <w:pPr>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Hyperlink"/>
    <w:qFormat/>
    <w:uiPriority w:val="0"/>
    <w:rPr>
      <w:color w:val="0000FF"/>
      <w:u w:val="single"/>
    </w:rPr>
  </w:style>
  <w:style w:type="character" w:styleId="28">
    <w:name w:val="annotation reference"/>
    <w:basedOn w:val="25"/>
    <w:qFormat/>
    <w:uiPriority w:val="0"/>
    <w:rPr>
      <w:sz w:val="21"/>
      <w:szCs w:val="21"/>
    </w:rPr>
  </w:style>
  <w:style w:type="paragraph" w:customStyle="1" w:styleId="29">
    <w:name w:val="标题 5（有编号）（绿盟科技）"/>
    <w:basedOn w:val="1"/>
    <w:next w:val="30"/>
    <w:qFormat/>
    <w:uiPriority w:val="0"/>
    <w:pPr>
      <w:keepNext/>
      <w:keepLines/>
      <w:spacing w:before="280" w:after="156" w:line="377" w:lineRule="auto"/>
      <w:outlineLvl w:val="4"/>
    </w:pPr>
    <w:rPr>
      <w:rFonts w:ascii="Arial" w:hAnsi="Arial" w:eastAsia="黑体"/>
      <w:b/>
      <w:sz w:val="24"/>
      <w:szCs w:val="28"/>
    </w:rPr>
  </w:style>
  <w:style w:type="paragraph" w:customStyle="1" w:styleId="30">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1">
    <w:name w:val="标题 2 Char"/>
    <w:basedOn w:val="25"/>
    <w:link w:val="4"/>
    <w:qFormat/>
    <w:locked/>
    <w:uiPriority w:val="0"/>
    <w:rPr>
      <w:rFonts w:ascii="Arial" w:hAnsi="Arial" w:eastAsia="黑体"/>
      <w:b/>
      <w:bCs/>
      <w:kern w:val="2"/>
      <w:sz w:val="32"/>
      <w:szCs w:val="32"/>
      <w:lang w:val="en-US" w:eastAsia="zh-CN" w:bidi="ar-SA"/>
    </w:rPr>
  </w:style>
  <w:style w:type="paragraph" w:customStyle="1" w:styleId="32">
    <w:name w:val="_Style 3"/>
    <w:qFormat/>
    <w:uiPriority w:val="0"/>
    <w:pPr>
      <w:widowControl w:val="0"/>
      <w:jc w:val="both"/>
    </w:pPr>
    <w:rPr>
      <w:rFonts w:ascii="Calibri" w:hAnsi="Calibri" w:eastAsia="宋体" w:cs="黑体"/>
      <w:kern w:val="2"/>
      <w:sz w:val="21"/>
      <w:szCs w:val="22"/>
      <w:lang w:val="en-US" w:eastAsia="zh-CN" w:bidi="ar-SA"/>
    </w:rPr>
  </w:style>
  <w:style w:type="character" w:customStyle="1" w:styleId="33">
    <w:name w:val="正文文本 Char"/>
    <w:basedOn w:val="25"/>
    <w:link w:val="8"/>
    <w:qFormat/>
    <w:locked/>
    <w:uiPriority w:val="0"/>
    <w:rPr>
      <w:rFonts w:ascii="Calibri" w:hAnsi="Calibri"/>
      <w:kern w:val="2"/>
      <w:sz w:val="28"/>
      <w:lang w:bidi="ar-SA"/>
    </w:rPr>
  </w:style>
  <w:style w:type="character" w:customStyle="1" w:styleId="34">
    <w:name w:val="纯文本 Char"/>
    <w:basedOn w:val="25"/>
    <w:link w:val="11"/>
    <w:qFormat/>
    <w:locked/>
    <w:uiPriority w:val="0"/>
    <w:rPr>
      <w:rFonts w:ascii="宋体" w:hAnsi="Tms Rmn" w:eastAsia="宋体"/>
      <w:kern w:val="2"/>
      <w:sz w:val="21"/>
      <w:szCs w:val="21"/>
      <w:lang w:bidi="ar-SA"/>
    </w:rPr>
  </w:style>
  <w:style w:type="character" w:customStyle="1" w:styleId="35">
    <w:name w:val="标题 Char1"/>
    <w:basedOn w:val="25"/>
    <w:link w:val="19"/>
    <w:qFormat/>
    <w:locked/>
    <w:uiPriority w:val="0"/>
    <w:rPr>
      <w:rFonts w:ascii="Cambria" w:hAnsi="Cambria"/>
      <w:b/>
      <w:bCs/>
      <w:kern w:val="28"/>
      <w:sz w:val="32"/>
      <w:szCs w:val="32"/>
      <w:lang w:bidi="ar-SA"/>
    </w:rPr>
  </w:style>
  <w:style w:type="paragraph" w:customStyle="1" w:styleId="36">
    <w:name w:val="msolistparagraph"/>
    <w:basedOn w:val="1"/>
    <w:qFormat/>
    <w:uiPriority w:val="0"/>
    <w:pPr>
      <w:ind w:firstLine="420" w:firstLineChars="200"/>
    </w:pPr>
  </w:style>
  <w:style w:type="paragraph" w:customStyle="1" w:styleId="37">
    <w:name w:val="列出段落1"/>
    <w:basedOn w:val="1"/>
    <w:qFormat/>
    <w:uiPriority w:val="0"/>
    <w:pPr>
      <w:ind w:firstLine="420" w:firstLineChars="200"/>
    </w:pPr>
  </w:style>
  <w:style w:type="character" w:customStyle="1" w:styleId="38">
    <w:name w:val="标题 Char"/>
    <w:basedOn w:val="25"/>
    <w:qFormat/>
    <w:uiPriority w:val="0"/>
    <w:rPr>
      <w:rFonts w:hint="default" w:ascii="Cambria" w:hAnsi="Cambria" w:cs="Times New Roman"/>
      <w:b/>
      <w:bCs/>
      <w:kern w:val="2"/>
      <w:sz w:val="32"/>
      <w:szCs w:val="32"/>
    </w:rPr>
  </w:style>
  <w:style w:type="paragraph" w:styleId="39">
    <w:name w:val="List Paragraph"/>
    <w:basedOn w:val="1"/>
    <w:link w:val="40"/>
    <w:unhideWhenUsed/>
    <w:qFormat/>
    <w:uiPriority w:val="34"/>
    <w:pPr>
      <w:ind w:firstLine="420" w:firstLineChars="200"/>
    </w:pPr>
  </w:style>
  <w:style w:type="character" w:customStyle="1" w:styleId="40">
    <w:name w:val="列出段落 Char"/>
    <w:link w:val="39"/>
    <w:qFormat/>
    <w:uiPriority w:val="34"/>
    <w:rPr>
      <w:rFonts w:ascii="Calibri" w:hAnsi="Calibri"/>
      <w:kern w:val="2"/>
      <w:sz w:val="21"/>
      <w:szCs w:val="22"/>
    </w:rPr>
  </w:style>
  <w:style w:type="character" w:customStyle="1" w:styleId="41">
    <w:name w:val="页眉 Char"/>
    <w:basedOn w:val="25"/>
    <w:link w:val="15"/>
    <w:qFormat/>
    <w:uiPriority w:val="0"/>
    <w:rPr>
      <w:rFonts w:ascii="Calibri" w:hAnsi="Calibri"/>
      <w:kern w:val="2"/>
      <w:sz w:val="18"/>
      <w:szCs w:val="18"/>
    </w:rPr>
  </w:style>
  <w:style w:type="character" w:customStyle="1" w:styleId="42">
    <w:name w:val="页脚 Char"/>
    <w:basedOn w:val="25"/>
    <w:link w:val="14"/>
    <w:qFormat/>
    <w:uiPriority w:val="0"/>
    <w:rPr>
      <w:rFonts w:ascii="Calibri" w:hAnsi="Calibri"/>
      <w:kern w:val="2"/>
      <w:sz w:val="18"/>
      <w:szCs w:val="18"/>
    </w:rPr>
  </w:style>
  <w:style w:type="paragraph" w:customStyle="1" w:styleId="43">
    <w:name w:val="GW-正文"/>
    <w:basedOn w:val="1"/>
    <w:qFormat/>
    <w:uiPriority w:val="0"/>
    <w:pPr>
      <w:spacing w:line="360" w:lineRule="auto"/>
      <w:ind w:firstLine="200" w:firstLineChars="200"/>
    </w:pPr>
    <w:rPr>
      <w:rFonts w:eastAsia="仿宋_GB2312"/>
      <w:sz w:val="24"/>
    </w:rPr>
  </w:style>
  <w:style w:type="paragraph" w:customStyle="1" w:styleId="44">
    <w:name w:val="TOC 标题1"/>
    <w:basedOn w:val="3"/>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45">
    <w:name w:val="正 文"/>
    <w:basedOn w:val="1"/>
    <w:qFormat/>
    <w:uiPriority w:val="0"/>
    <w:pPr>
      <w:widowControl/>
      <w:adjustRightInd w:val="0"/>
      <w:ind w:firstLine="480"/>
      <w:jc w:val="left"/>
      <w:textAlignment w:val="baseline"/>
    </w:pPr>
    <w:rPr>
      <w:kern w:val="0"/>
      <w:szCs w:val="32"/>
      <w:lang w:val="zh-CN" w:eastAsia="en-US" w:bidi="en-US"/>
    </w:rPr>
  </w:style>
  <w:style w:type="character" w:customStyle="1" w:styleId="46">
    <w:name w:val="批注框文本 Char"/>
    <w:basedOn w:val="25"/>
    <w:link w:val="13"/>
    <w:qFormat/>
    <w:uiPriority w:val="0"/>
    <w:rPr>
      <w:rFonts w:ascii="Calibri" w:hAnsi="Calibri"/>
      <w:kern w:val="2"/>
      <w:sz w:val="18"/>
      <w:szCs w:val="18"/>
    </w:rPr>
  </w:style>
  <w:style w:type="paragraph" w:customStyle="1" w:styleId="47">
    <w:name w:val="列出段落11"/>
    <w:basedOn w:val="1"/>
    <w:qFormat/>
    <w:uiPriority w:val="0"/>
    <w:pPr>
      <w:ind w:firstLine="420" w:firstLineChars="200"/>
    </w:pPr>
  </w:style>
  <w:style w:type="character" w:customStyle="1" w:styleId="48">
    <w:name w:val="批注文字 Char"/>
    <w:basedOn w:val="25"/>
    <w:link w:val="7"/>
    <w:qFormat/>
    <w:uiPriority w:val="99"/>
    <w:rPr>
      <w:rFonts w:asciiTheme="minorHAnsi" w:hAnsiTheme="minorHAnsi" w:cstheme="minorBidi"/>
      <w:sz w:val="28"/>
      <w:szCs w:val="22"/>
    </w:rPr>
  </w:style>
  <w:style w:type="paragraph" w:customStyle="1" w:styleId="4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0">
    <w:name w:val="正文缩进 Char"/>
    <w:link w:val="6"/>
    <w:qFormat/>
    <w:locked/>
    <w:uiPriority w:val="0"/>
    <w:rPr>
      <w:rFonts w:ascii="Calibri" w:hAnsi="Calibri"/>
      <w:kern w:val="2"/>
      <w:sz w:val="21"/>
      <w:szCs w:val="22"/>
    </w:rPr>
  </w:style>
  <w:style w:type="character" w:customStyle="1" w:styleId="51">
    <w:name w:val="批注主题 Char"/>
    <w:basedOn w:val="48"/>
    <w:link w:val="20"/>
    <w:qFormat/>
    <w:uiPriority w:val="0"/>
    <w:rPr>
      <w:rFonts w:ascii="Calibri" w:hAnsi="Calibri"/>
      <w:b/>
      <w:bCs/>
      <w:kern w:val="2"/>
      <w:sz w:val="21"/>
    </w:rPr>
  </w:style>
  <w:style w:type="paragraph" w:customStyle="1" w:styleId="52">
    <w:name w:val="修订1"/>
    <w:hidden/>
    <w:unhideWhenUsed/>
    <w:qFormat/>
    <w:uiPriority w:val="99"/>
    <w:rPr>
      <w:rFonts w:ascii="Calibri" w:hAnsi="Calibri" w:eastAsia="宋体" w:cs="Times New Roman"/>
      <w:kern w:val="2"/>
      <w:sz w:val="21"/>
      <w:szCs w:val="22"/>
      <w:lang w:val="en-US" w:eastAsia="zh-CN" w:bidi="ar-SA"/>
    </w:rPr>
  </w:style>
  <w:style w:type="character" w:customStyle="1" w:styleId="53">
    <w:name w:val="NormalCharacter"/>
    <w:qFormat/>
    <w:uiPriority w:val="0"/>
    <w:rPr>
      <w:kern w:val="2"/>
      <w:sz w:val="21"/>
      <w:szCs w:val="24"/>
      <w:lang w:val="en-US" w:eastAsia="zh-CN" w:bidi="ar-SA"/>
    </w:rPr>
  </w:style>
  <w:style w:type="paragraph" w:customStyle="1" w:styleId="54">
    <w:name w:val="正文首行缩进两字符"/>
    <w:basedOn w:val="1"/>
    <w:qFormat/>
    <w:uiPriority w:val="0"/>
    <w:pPr>
      <w:spacing w:line="360" w:lineRule="auto"/>
      <w:ind w:firstLine="200" w:firstLineChars="200"/>
    </w:pPr>
  </w:style>
  <w:style w:type="paragraph" w:customStyle="1" w:styleId="55">
    <w:name w:val="样式 首行缩进:  2 字符"/>
    <w:basedOn w:val="1"/>
    <w:qFormat/>
    <w:uiPriority w:val="0"/>
    <w:pPr>
      <w:spacing w:line="400" w:lineRule="exact"/>
      <w:ind w:firstLine="200" w:firstLineChars="200"/>
    </w:pPr>
    <w:rPr>
      <w:rFonts w:ascii="Times New Roman" w:hAnsi="Times New Roman" w:cs="宋体"/>
      <w:sz w:val="24"/>
      <w:szCs w:val="24"/>
    </w:rPr>
  </w:style>
  <w:style w:type="character" w:customStyle="1" w:styleId="56">
    <w:name w:val="bds_nopic"/>
    <w:basedOn w:val="2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20</Pages>
  <Words>1336</Words>
  <Characters>7621</Characters>
  <Lines>63</Lines>
  <Paragraphs>17</Paragraphs>
  <TotalTime>150</TotalTime>
  <ScaleCrop>false</ScaleCrop>
  <LinksUpToDate>false</LinksUpToDate>
  <CharactersWithSpaces>8940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2021-11-08T03:55:00Z</dcterms:created>
  <dc:creator>李金玉</dc:creator>
  <cp:lastModifiedBy>681</cp:lastModifiedBy>
  <cp:lastPrinted>2021-12-03T04:27:11Z</cp:lastPrinted>
  <dcterms:modified xsi:type="dcterms:W3CDTF">2021-12-03T07:15:57Z</dcterms:modified>
  <dc:title>乐山市市级部门基础法律服务统筹管理采购项目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8A2CCDA7C48F45A1BF7EB0836D1C7DED</vt:lpwstr>
  </property>
  <property fmtid="{D5CDD505-2E9C-101B-9397-08002B2CF9AE}" pid="4" name="KSOSaveFontToCloudKey">
    <vt:lpwstr>757168677_btnclosed</vt:lpwstr>
  </property>
</Properties>
</file>