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before="156" w:beforeLines="50" w:line="4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2022年北京科技周活动开展情况统计表</w:t>
      </w:r>
    </w:p>
    <w:p>
      <w:pPr>
        <w:topLinePunct/>
        <w:spacing w:before="312" w:beforeLines="100" w:line="440" w:lineRule="exact"/>
        <w:rPr>
          <w:rFonts w:hint="eastAsia" w:ascii="仿宋_GB2312" w:hAnsi="仿宋" w:eastAsia="仿宋_GB2312"/>
          <w:spacing w:val="6"/>
          <w:sz w:val="32"/>
          <w:szCs w:val="32"/>
        </w:rPr>
      </w:pPr>
      <w:r>
        <w:rPr>
          <w:rFonts w:hint="eastAsia" w:ascii="仿宋_GB2312" w:hAnsi="仿宋" w:eastAsia="仿宋_GB2312"/>
          <w:spacing w:val="6"/>
          <w:sz w:val="32"/>
          <w:szCs w:val="32"/>
        </w:rPr>
        <w:t>各区、各有关部门（盖章）：</w:t>
      </w:r>
    </w:p>
    <w:tbl>
      <w:tblPr>
        <w:tblStyle w:val="4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00"/>
        <w:gridCol w:w="3464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科普活动开展次数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举办活动次数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承接北京市科普活动个数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活动经费投入数量（单位：万元）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北京市财政经费投入情况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区级财政经费投入情况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企业赞助经费情况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4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实物投入情况（如：捐赠图书、创新操作室等）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其他经费情况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科普工作人员参与数量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科普专职人员数量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科技工作者参与数量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招募科技志愿者数量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" w:hRule="atLeast"/>
          <w:jc w:val="center"/>
        </w:trPr>
        <w:tc>
          <w:tcPr>
            <w:tcW w:w="24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其他人员数量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科普活动群众参与数量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线下活动群众参与数量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线上活动群众参与数量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宣传报道情况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参与媒体数量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4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宣传报道数量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6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活动周期间开放的科普场馆数量</w:t>
            </w:r>
          </w:p>
        </w:tc>
        <w:tc>
          <w:tcPr>
            <w:tcW w:w="6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活动周期间开放活动的科研机构数量</w:t>
            </w:r>
          </w:p>
        </w:tc>
        <w:tc>
          <w:tcPr>
            <w:tcW w:w="6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9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活动周期间开放活动的大学数量</w:t>
            </w:r>
          </w:p>
        </w:tc>
        <w:tc>
          <w:tcPr>
            <w:tcW w:w="6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2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8"/>
    <w:next w:val="1"/>
    <w:qFormat/>
    <w:uiPriority w:val="0"/>
    <w:pPr>
      <w:widowControl w:val="0"/>
      <w:ind w:left="1400" w:leftChars="14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2022-04-15T06:20:53Z</dcterms:created>
  <dc:creator>Administrator</dc:creator>
  <cp:lastModifiedBy>明天会更好</cp:lastModifiedBy>
  <dcterms:modified xsi:type="dcterms:W3CDTF">2022-04-15T06:21:10Z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56DB18DCBF6B440EB8888A391B08D803</vt:lpwstr>
  </property>
</Properties>
</file>